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799" w:rsidRPr="00C64AE1" w:rsidRDefault="00423A17" w:rsidP="00715799">
      <w:pPr>
        <w:rPr>
          <w:rFonts w:ascii="楷体" w:eastAsia="楷体" w:hAnsi="楷体" w:cs="Times New Roman"/>
          <w:szCs w:val="24"/>
        </w:rPr>
      </w:pPr>
      <w:r w:rsidRPr="00423A17">
        <w:rPr>
          <w:noProof/>
        </w:rPr>
        <w:pict>
          <v:shapetype id="_x0000_t202" coordsize="21600,21600" o:spt="202" path="m,l,21600r21600,l21600,xe">
            <v:stroke joinstyle="miter"/>
            <v:path gradientshapeok="t" o:connecttype="rect"/>
          </v:shapetype>
          <v:shape id="Text Box 5" o:spid="_x0000_s1029" type="#_x0000_t202" style="position:absolute;left:0;text-align:left;margin-left:-16.35pt;margin-top:-38.55pt;width:594.3pt;height:16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GkggIAABE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" stroked="f">
            <v:textbox>
              <w:txbxContent>
                <w:p w:rsidR="00023874" w:rsidRPr="001F6DAA" w:rsidRDefault="00023874" w:rsidP="00715799">
                  <w:pPr>
                    <w:wordWrap w:val="0"/>
                    <w:jc w:val="right"/>
                    <w:rPr>
                      <w:rFonts w:ascii="楷体" w:eastAsia="楷体" w:hAnsi="楷体"/>
                    </w:rPr>
                  </w:pPr>
                  <w:r w:rsidRPr="001F6DAA">
                    <w:rPr>
                      <w:rFonts w:ascii="楷体" w:eastAsia="楷体" w:hAnsi="楷体"/>
                      <w:noProof/>
                    </w:rPr>
                    <w:drawing>
                      <wp:inline distT="0" distB="0" distL="0" distR="0">
                        <wp:extent cx="2295525" cy="657225"/>
                        <wp:effectExtent l="19050" t="0" r="9525" b="0"/>
                        <wp:docPr id="6" name="图片 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3"/>
                                <pic:cNvPicPr>
                                  <a:picLocks noChangeAspect="1" noChangeArrowheads="1"/>
                                </pic:cNvPicPr>
                              </pic:nvPicPr>
                              <pic:blipFill>
                                <a:blip r:embed="rId8"/>
                                <a:srcRect/>
                                <a:stretch>
                                  <a:fillRect/>
                                </a:stretch>
                              </pic:blipFill>
                              <pic:spPr bwMode="auto">
                                <a:xfrm>
                                  <a:off x="0" y="0"/>
                                  <a:ext cx="2295525" cy="657225"/>
                                </a:xfrm>
                                <a:prstGeom prst="rect">
                                  <a:avLst/>
                                </a:prstGeom>
                                <a:noFill/>
                                <a:ln w="9525">
                                  <a:noFill/>
                                  <a:miter lim="800000"/>
                                  <a:headEnd/>
                                  <a:tailEnd/>
                                </a:ln>
                              </pic:spPr>
                            </pic:pic>
                          </a:graphicData>
                        </a:graphic>
                      </wp:inline>
                    </w:drawing>
                  </w:r>
                  <w:r w:rsidRPr="001F6DAA">
                    <w:rPr>
                      <w:rFonts w:ascii="楷体" w:eastAsia="楷体" w:hAnsi="楷体" w:hint="eastAsia"/>
                    </w:rPr>
                    <w:t xml:space="preserve">  </w:t>
                  </w:r>
                </w:p>
                <w:tbl>
                  <w:tblPr>
                    <w:tblW w:w="12049" w:type="dxa"/>
                    <w:tblInd w:w="-34" w:type="dxa"/>
                    <w:tblLook w:val="04A0"/>
                  </w:tblPr>
                  <w:tblGrid>
                    <w:gridCol w:w="4395"/>
                    <w:gridCol w:w="3118"/>
                    <w:gridCol w:w="4536"/>
                  </w:tblGrid>
                  <w:tr w:rsidR="00023874" w:rsidRPr="001F6DAA">
                    <w:trPr>
                      <w:trHeight w:hRule="exact" w:val="23"/>
                    </w:trPr>
                    <w:tc>
                      <w:tcPr>
                        <w:tcW w:w="12049" w:type="dxa"/>
                        <w:gridSpan w:val="3"/>
                      </w:tcPr>
                      <w:p w:rsidR="00023874" w:rsidRPr="001F6DAA" w:rsidRDefault="00023874">
                        <w:pPr>
                          <w:rPr>
                            <w:rFonts w:ascii="楷体" w:eastAsia="楷体" w:hAnsi="楷体"/>
                          </w:rPr>
                        </w:pPr>
                        <w:r w:rsidRPr="001F6DAA">
                          <w:rPr>
                            <w:rFonts w:ascii="楷体" w:eastAsia="楷体" w:hAnsi="楷体" w:hint="eastAsia"/>
                          </w:rPr>
                          <w:t>[</w:t>
                        </w:r>
                        <w:r w:rsidRPr="001F6DAA">
                          <w:rPr>
                            <w:rFonts w:ascii="楷体" w:eastAsia="楷体" w:hAnsi="楷体"/>
                          </w:rPr>
                          <w:t>table_subject</w:t>
                        </w:r>
                        <w:r w:rsidRPr="001F6DAA">
                          <w:rPr>
                            <w:rFonts w:ascii="楷体" w:eastAsia="楷体" w:hAnsi="楷体" w:hint="eastAsia"/>
                          </w:rPr>
                          <w:t>]</w:t>
                        </w:r>
                      </w:p>
                    </w:tc>
                  </w:tr>
                  <w:tr w:rsidR="00023874" w:rsidRPr="001F6DAA">
                    <w:trPr>
                      <w:trHeight w:hRule="exact" w:val="465"/>
                    </w:trPr>
                    <w:tc>
                      <w:tcPr>
                        <w:tcW w:w="4395" w:type="dxa"/>
                        <w:shd w:val="clear" w:color="auto" w:fill="B30924"/>
                        <w:vAlign w:val="bottom"/>
                      </w:tcPr>
                      <w:p w:rsidR="00023874" w:rsidRPr="001F6DAA" w:rsidRDefault="00423A17" w:rsidP="00FE0EF8">
                        <w:pPr>
                          <w:ind w:leftChars="250" w:left="525"/>
                          <w:jc w:val="left"/>
                          <w:rPr>
                            <w:rFonts w:ascii="楷体" w:eastAsia="楷体" w:hAnsi="楷体"/>
                            <w:b/>
                            <w:color w:val="FFFFFF"/>
                            <w:sz w:val="24"/>
                          </w:rPr>
                        </w:pPr>
                        <w:r>
                          <w:rPr>
                            <w:rFonts w:ascii="楷体" w:eastAsia="楷体" w:hAnsi="楷体"/>
                            <w:b/>
                            <w:color w:val="FFFFFF"/>
                            <w:sz w:val="24"/>
                          </w:rPr>
                          <w:fldChar w:fldCharType="begin"/>
                        </w:r>
                        <w:r w:rsidR="00023874">
                          <w:rPr>
                            <w:rFonts w:ascii="楷体" w:eastAsia="楷体" w:hAnsi="楷体"/>
                            <w:b/>
                            <w:color w:val="FFFFFF"/>
                            <w:sz w:val="24"/>
                          </w:rPr>
                          <w:instrText xml:space="preserve"> </w:instrText>
                        </w:r>
                        <w:r w:rsidR="00023874">
                          <w:rPr>
                            <w:rFonts w:ascii="楷体" w:eastAsia="楷体" w:hAnsi="楷体" w:hint="eastAsia"/>
                            <w:b/>
                            <w:color w:val="FFFFFF"/>
                            <w:sz w:val="24"/>
                          </w:rPr>
                          <w:instrText>TIME \@ "yyyy'年'M'月'd'日'"</w:instrText>
                        </w:r>
                        <w:r w:rsidR="00023874">
                          <w:rPr>
                            <w:rFonts w:ascii="楷体" w:eastAsia="楷体" w:hAnsi="楷体"/>
                            <w:b/>
                            <w:color w:val="FFFFFF"/>
                            <w:sz w:val="24"/>
                          </w:rPr>
                          <w:instrText xml:space="preserve"> </w:instrText>
                        </w:r>
                        <w:r>
                          <w:rPr>
                            <w:rFonts w:ascii="楷体" w:eastAsia="楷体" w:hAnsi="楷体"/>
                            <w:b/>
                            <w:color w:val="FFFFFF"/>
                            <w:sz w:val="24"/>
                          </w:rPr>
                          <w:fldChar w:fldCharType="separate"/>
                        </w:r>
                        <w:r w:rsidR="00446770">
                          <w:rPr>
                            <w:rFonts w:ascii="楷体" w:eastAsia="楷体" w:hAnsi="楷体"/>
                            <w:b/>
                            <w:noProof/>
                            <w:color w:val="FFFFFF"/>
                            <w:sz w:val="24"/>
                          </w:rPr>
                          <w:t>2019年1月10日</w:t>
                        </w:r>
                        <w:r>
                          <w:rPr>
                            <w:rFonts w:ascii="楷体" w:eastAsia="楷体" w:hAnsi="楷体"/>
                            <w:b/>
                            <w:color w:val="FFFFFF"/>
                            <w:sz w:val="24"/>
                          </w:rPr>
                          <w:fldChar w:fldCharType="end"/>
                        </w:r>
                      </w:p>
                    </w:tc>
                    <w:tc>
                      <w:tcPr>
                        <w:tcW w:w="3118" w:type="dxa"/>
                        <w:shd w:val="clear" w:color="auto" w:fill="B30924"/>
                        <w:vAlign w:val="bottom"/>
                      </w:tcPr>
                      <w:p w:rsidR="00023874" w:rsidRPr="001F6DAA" w:rsidRDefault="00023874" w:rsidP="00FE0EF8">
                        <w:pPr>
                          <w:jc w:val="left"/>
                          <w:rPr>
                            <w:rFonts w:ascii="楷体" w:eastAsia="楷体" w:hAnsi="楷体"/>
                            <w:b/>
                            <w:color w:val="FFFFFF"/>
                            <w:sz w:val="24"/>
                          </w:rPr>
                        </w:pPr>
                        <w:r>
                          <w:rPr>
                            <w:rFonts w:ascii="楷体" w:eastAsia="楷体" w:hAnsi="楷体" w:hint="eastAsia"/>
                            <w:b/>
                            <w:color w:val="FFFFFF"/>
                            <w:sz w:val="24"/>
                          </w:rPr>
                          <w:t>金融工</w:t>
                        </w:r>
                        <w:r>
                          <w:rPr>
                            <w:rFonts w:ascii="楷体" w:eastAsia="楷体" w:hAnsi="楷体"/>
                            <w:b/>
                            <w:color w:val="FFFFFF"/>
                            <w:sz w:val="24"/>
                          </w:rPr>
                          <w:t>程</w:t>
                        </w:r>
                      </w:p>
                    </w:tc>
                    <w:tc>
                      <w:tcPr>
                        <w:tcW w:w="4536" w:type="dxa"/>
                        <w:shd w:val="clear" w:color="auto" w:fill="B30924"/>
                        <w:vAlign w:val="bottom"/>
                      </w:tcPr>
                      <w:p w:rsidR="00023874" w:rsidRPr="001F6DAA" w:rsidRDefault="00023874" w:rsidP="00FE0EF8">
                        <w:pPr>
                          <w:ind w:rightChars="250" w:right="525"/>
                          <w:jc w:val="right"/>
                          <w:rPr>
                            <w:rFonts w:ascii="楷体" w:eastAsia="楷体" w:hAnsi="楷体"/>
                            <w:b/>
                            <w:color w:val="FFFFFF"/>
                            <w:sz w:val="24"/>
                          </w:rPr>
                        </w:pPr>
                        <w:r w:rsidRPr="001F6DAA">
                          <w:rPr>
                            <w:rFonts w:ascii="楷体" w:eastAsia="楷体" w:hAnsi="楷体" w:hint="eastAsia"/>
                            <w:b/>
                            <w:color w:val="FFFFFF"/>
                            <w:sz w:val="24"/>
                          </w:rPr>
                          <w:t>内部研究报告·深度报告</w:t>
                        </w:r>
                      </w:p>
                    </w:tc>
                  </w:tr>
                  <w:tr w:rsidR="00023874" w:rsidRPr="001F6DAA">
                    <w:trPr>
                      <w:trHeight w:hRule="exact" w:val="697"/>
                    </w:trPr>
                    <w:tc>
                      <w:tcPr>
                        <w:tcW w:w="12049" w:type="dxa"/>
                        <w:gridSpan w:val="3"/>
                        <w:shd w:val="clear" w:color="auto" w:fill="FFFFFF"/>
                        <w:vAlign w:val="center"/>
                      </w:tcPr>
                      <w:p w:rsidR="00023874" w:rsidRPr="001F6DAA" w:rsidRDefault="00446770" w:rsidP="00835398">
                        <w:pPr>
                          <w:pStyle w:val="ab"/>
                          <w:ind w:leftChars="0" w:left="0"/>
                          <w:jc w:val="center"/>
                          <w:rPr>
                            <w:rFonts w:ascii="楷体" w:eastAsia="楷体" w:hAnsi="楷体"/>
                          </w:rPr>
                        </w:pPr>
                        <w:r w:rsidRPr="00446770">
                          <w:rPr>
                            <w:rFonts w:ascii="楷体" w:eastAsia="楷体" w:hAnsi="楷体" w:hint="eastAsia"/>
                          </w:rPr>
                          <w:t>信心蛰伏日，机会云涌时</w:t>
                        </w:r>
                      </w:p>
                    </w:tc>
                  </w:tr>
                  <w:tr w:rsidR="00023874" w:rsidRPr="001F6DAA">
                    <w:trPr>
                      <w:trHeight w:hRule="exact" w:val="595"/>
                    </w:trPr>
                    <w:tc>
                      <w:tcPr>
                        <w:tcW w:w="12049" w:type="dxa"/>
                        <w:gridSpan w:val="3"/>
                        <w:tcBorders>
                          <w:bottom w:val="single" w:sz="12" w:space="0" w:color="B30924"/>
                        </w:tcBorders>
                        <w:shd w:val="clear" w:color="auto" w:fill="FFFFFF"/>
                        <w:tcMar>
                          <w:right w:w="340" w:type="dxa"/>
                        </w:tcMar>
                        <w:vAlign w:val="center"/>
                      </w:tcPr>
                      <w:p w:rsidR="00023874" w:rsidRPr="001F6DAA" w:rsidRDefault="00023874" w:rsidP="0010238E">
                        <w:pPr>
                          <w:pStyle w:val="ac"/>
                          <w:rPr>
                            <w:rFonts w:ascii="楷体" w:eastAsia="楷体" w:hAnsi="楷体"/>
                          </w:rPr>
                        </w:pPr>
                        <w:r>
                          <w:rPr>
                            <w:rFonts w:hint="eastAsia"/>
                          </w:rPr>
                          <w:t>——中山金融工程</w:t>
                        </w:r>
                        <w:r>
                          <w:rPr>
                            <w:rFonts w:hint="eastAsia"/>
                          </w:rPr>
                          <w:t>2019</w:t>
                        </w:r>
                        <w:r>
                          <w:rPr>
                            <w:rFonts w:hint="eastAsia"/>
                          </w:rPr>
                          <w:t>年展望策略报告</w:t>
                        </w:r>
                      </w:p>
                    </w:tc>
                  </w:tr>
                </w:tbl>
                <w:p w:rsidR="00023874" w:rsidRPr="001F6DAA" w:rsidRDefault="00023874" w:rsidP="00715799">
                  <w:pPr>
                    <w:rPr>
                      <w:rFonts w:ascii="楷体" w:eastAsia="楷体" w:hAnsi="楷体"/>
                    </w:rPr>
                  </w:pPr>
                  <w:r w:rsidRPr="001F6DAA">
                    <w:rPr>
                      <w:rFonts w:ascii="楷体" w:eastAsia="楷体" w:hAnsi="楷体" w:hint="eastAsia"/>
                    </w:rPr>
                    <w:t xml:space="preserve"> </w:t>
                  </w:r>
                </w:p>
              </w:txbxContent>
            </v:textbox>
          </v:shape>
        </w:pict>
      </w:r>
    </w:p>
    <w:p w:rsidR="00715799" w:rsidRPr="00C64AE1" w:rsidRDefault="00715799" w:rsidP="00715799">
      <w:pPr>
        <w:rPr>
          <w:rFonts w:ascii="楷体" w:eastAsia="楷体" w:hAnsi="楷体" w:cs="Times New Roman"/>
          <w:szCs w:val="24"/>
        </w:rPr>
      </w:pPr>
    </w:p>
    <w:p w:rsidR="00715799" w:rsidRPr="00C64AE1" w:rsidRDefault="00715799" w:rsidP="00715799">
      <w:pPr>
        <w:rPr>
          <w:rFonts w:ascii="楷体" w:eastAsia="楷体" w:hAnsi="楷体" w:cs="Times New Roman"/>
          <w:szCs w:val="24"/>
        </w:rPr>
      </w:pPr>
    </w:p>
    <w:p w:rsidR="00715799" w:rsidRPr="00C64AE1" w:rsidRDefault="00715799" w:rsidP="00715799">
      <w:pPr>
        <w:rPr>
          <w:rFonts w:ascii="楷体" w:eastAsia="楷体" w:hAnsi="楷体" w:cs="Times New Roman"/>
          <w:szCs w:val="24"/>
        </w:rPr>
      </w:pPr>
    </w:p>
    <w:p w:rsidR="00715799" w:rsidRPr="00C64AE1" w:rsidRDefault="00715799" w:rsidP="00715799">
      <w:pPr>
        <w:rPr>
          <w:rFonts w:ascii="楷体" w:eastAsia="楷体" w:hAnsi="楷体" w:cs="Times New Roman"/>
          <w:szCs w:val="24"/>
        </w:rPr>
      </w:pPr>
    </w:p>
    <w:p w:rsidR="00715799" w:rsidRPr="00C64AE1" w:rsidRDefault="00715799" w:rsidP="00715799">
      <w:pPr>
        <w:rPr>
          <w:rFonts w:ascii="楷体" w:eastAsia="楷体" w:hAnsi="楷体" w:cs="Times New Roman"/>
          <w:szCs w:val="24"/>
        </w:rPr>
      </w:pPr>
    </w:p>
    <w:p w:rsidR="00715799" w:rsidRPr="00C64AE1" w:rsidRDefault="00715799" w:rsidP="00715799">
      <w:pPr>
        <w:rPr>
          <w:rFonts w:ascii="楷体" w:eastAsia="楷体" w:hAnsi="楷体" w:cs="Times New Roman"/>
          <w:szCs w:val="24"/>
        </w:rPr>
      </w:pPr>
    </w:p>
    <w:p w:rsidR="00715799" w:rsidRPr="00C64AE1" w:rsidRDefault="00715799" w:rsidP="00715799">
      <w:pPr>
        <w:rPr>
          <w:rFonts w:ascii="楷体" w:eastAsia="楷体" w:hAnsi="楷体" w:cs="Times New Roman"/>
          <w:szCs w:val="24"/>
        </w:rPr>
      </w:pPr>
    </w:p>
    <w:p w:rsidR="00715799" w:rsidRPr="00C64AE1" w:rsidRDefault="00715799" w:rsidP="00715799">
      <w:pPr>
        <w:spacing w:line="120" w:lineRule="exact"/>
        <w:rPr>
          <w:rFonts w:ascii="楷体" w:eastAsia="楷体" w:hAnsi="楷体" w:cs="Times New Roman"/>
          <w:szCs w:val="24"/>
        </w:rPr>
      </w:pPr>
    </w:p>
    <w:tbl>
      <w:tblPr>
        <w:tblW w:w="11505" w:type="dxa"/>
        <w:tblInd w:w="-57" w:type="dxa"/>
        <w:tblLayout w:type="fixed"/>
        <w:tblLook w:val="04A0"/>
      </w:tblPr>
      <w:tblGrid>
        <w:gridCol w:w="3993"/>
        <w:gridCol w:w="7512"/>
      </w:tblGrid>
      <w:tr w:rsidR="00715799" w:rsidRPr="00C64AE1" w:rsidTr="00FE0EF8">
        <w:trPr>
          <w:trHeight w:val="8932"/>
        </w:trPr>
        <w:tc>
          <w:tcPr>
            <w:tcW w:w="3993" w:type="dxa"/>
          </w:tcPr>
          <w:p w:rsidR="00715799" w:rsidRPr="00C64AE1" w:rsidRDefault="00423A17" w:rsidP="00715799">
            <w:pPr>
              <w:rPr>
                <w:rFonts w:ascii="楷体" w:eastAsia="楷体" w:hAnsi="楷体" w:cs="Times New Roman"/>
                <w:b/>
                <w:szCs w:val="21"/>
              </w:rPr>
            </w:pPr>
            <w:r w:rsidRPr="00423A17">
              <w:pict>
                <v:shape id="Text Box 6" o:spid="_x0000_s1030" type="#_x0000_t202" alt="02" style="width:185.1pt;height:21.25pt;visibility:visible;mso-position-horizontal-relative:char;mso-position-vertical-relative:line" stroked="f">
                  <v:fill r:id="rId9" o:title="02" recolor="t" type="frame"/>
                  <v:textbox inset=",0,,0">
                    <w:txbxContent>
                      <w:tbl>
                        <w:tblPr>
                          <w:tblW w:w="4978" w:type="pct"/>
                          <w:tblLayout w:type="fixed"/>
                          <w:tblLook w:val="04A0"/>
                        </w:tblPr>
                        <w:tblGrid>
                          <w:gridCol w:w="3629"/>
                        </w:tblGrid>
                        <w:tr w:rsidR="00023874" w:rsidRPr="00EC221F" w:rsidTr="00FE0EF8">
                          <w:trPr>
                            <w:trHeight w:val="403"/>
                          </w:trPr>
                          <w:tc>
                            <w:tcPr>
                              <w:tcW w:w="5000" w:type="pct"/>
                              <w:shd w:val="clear" w:color="auto" w:fill="auto"/>
                            </w:tcPr>
                            <w:p w:rsidR="00023874" w:rsidRPr="002E46BD" w:rsidRDefault="00023874" w:rsidP="00FE0EF8">
                              <w:pPr>
                                <w:spacing w:line="380" w:lineRule="exact"/>
                                <w:rPr>
                                  <w:rFonts w:ascii="新宋体" w:eastAsia="新宋体" w:hAnsi="新宋体"/>
                                  <w:color w:val="FFFFFF"/>
                                  <w:szCs w:val="21"/>
                                </w:rPr>
                              </w:pPr>
                              <w:r>
                                <w:rPr>
                                  <w:rFonts w:ascii="Arial" w:eastAsia="楷体_GB2312" w:hAnsi="新宋体" w:hint="eastAsia"/>
                                  <w:b/>
                                  <w:color w:val="FFFFFF"/>
                                  <w:sz w:val="24"/>
                                </w:rPr>
                                <w:t>中</w:t>
                              </w:r>
                              <w:r>
                                <w:rPr>
                                  <w:rFonts w:ascii="Arial" w:eastAsia="楷体_GB2312" w:hAnsi="新宋体"/>
                                  <w:b/>
                                  <w:color w:val="FFFFFF"/>
                                  <w:sz w:val="24"/>
                                </w:rPr>
                                <w:t>山证券研究所</w:t>
                              </w:r>
                              <w:r w:rsidRPr="00437AC4">
                                <w:rPr>
                                  <w:rFonts w:ascii="Arial" w:eastAsia="楷体_GB2312" w:hAnsi="新宋体" w:hint="eastAsia"/>
                                  <w:b/>
                                  <w:color w:val="FFFFFF"/>
                                  <w:sz w:val="24"/>
                                </w:rPr>
                                <w:t>金融工程组</w:t>
                              </w:r>
                            </w:p>
                          </w:tc>
                        </w:tr>
                      </w:tbl>
                      <w:p w:rsidR="00023874" w:rsidRPr="007432EE" w:rsidRDefault="00023874" w:rsidP="00715799"/>
                    </w:txbxContent>
                  </v:textbox>
                  <w10:wrap type="none"/>
                  <w10:anchorlock/>
                </v:shape>
              </w:pict>
            </w:r>
          </w:p>
          <w:tbl>
            <w:tblPr>
              <w:tblW w:w="3488" w:type="dxa"/>
              <w:tblInd w:w="113" w:type="dxa"/>
              <w:tblLayout w:type="fixed"/>
              <w:tblLook w:val="04A0"/>
            </w:tblPr>
            <w:tblGrid>
              <w:gridCol w:w="3488"/>
            </w:tblGrid>
            <w:tr w:rsidR="00715799" w:rsidRPr="00C64AE1" w:rsidTr="00FE0EF8">
              <w:trPr>
                <w:trHeight w:hRule="exact" w:val="23"/>
              </w:trPr>
              <w:tc>
                <w:tcPr>
                  <w:tcW w:w="3488" w:type="dxa"/>
                </w:tcPr>
                <w:p w:rsidR="00715799" w:rsidRPr="00C64AE1" w:rsidRDefault="00715799" w:rsidP="00715799">
                  <w:pPr>
                    <w:rPr>
                      <w:rFonts w:ascii="楷体" w:eastAsia="楷体" w:hAnsi="楷体" w:cs="Times New Roman"/>
                      <w:szCs w:val="21"/>
                    </w:rPr>
                  </w:pPr>
                  <w:r w:rsidRPr="00C64AE1">
                    <w:rPr>
                      <w:rFonts w:ascii="楷体" w:eastAsia="楷体" w:hAnsi="楷体" w:cs="Times New Roman" w:hint="eastAsia"/>
                      <w:szCs w:val="21"/>
                    </w:rPr>
                    <w:t>[table_research]</w:t>
                  </w:r>
                </w:p>
              </w:tc>
            </w:tr>
            <w:tr w:rsidR="001A6B32" w:rsidRPr="00C64AE1" w:rsidTr="00FE0EF8">
              <w:trPr>
                <w:trHeight w:val="340"/>
              </w:trPr>
              <w:tc>
                <w:tcPr>
                  <w:tcW w:w="3488" w:type="dxa"/>
                </w:tcPr>
                <w:p w:rsidR="001A6B32" w:rsidRPr="00C64AE1" w:rsidRDefault="001A6B32" w:rsidP="00AA08D4">
                  <w:pPr>
                    <w:widowControl/>
                    <w:ind w:rightChars="-51" w:right="-107"/>
                    <w:jc w:val="left"/>
                    <w:rPr>
                      <w:rFonts w:ascii="Times New Roman" w:eastAsia="楷体_GB2312" w:hAnsi="Times New Roman" w:cs="宋体"/>
                      <w:b/>
                      <w:kern w:val="0"/>
                      <w:szCs w:val="18"/>
                    </w:rPr>
                  </w:pPr>
                  <w:r w:rsidRPr="00C64AE1">
                    <w:rPr>
                      <w:rFonts w:ascii="Times New Roman" w:eastAsia="楷体_GB2312" w:hAnsi="Times New Roman" w:cs="宋体" w:hint="eastAsia"/>
                      <w:b/>
                      <w:kern w:val="0"/>
                      <w:szCs w:val="18"/>
                    </w:rPr>
                    <w:t>分析师：阳建辉</w:t>
                  </w:r>
                </w:p>
                <w:p w:rsidR="001A6B32" w:rsidRPr="00C64AE1" w:rsidRDefault="001A6B32" w:rsidP="00AA08D4">
                  <w:pPr>
                    <w:widowControl/>
                    <w:ind w:rightChars="-51" w:right="-107"/>
                    <w:jc w:val="left"/>
                    <w:rPr>
                      <w:rFonts w:ascii="Times New Roman" w:eastAsia="楷体_GB2312" w:hAnsi="Times New Roman" w:cs="宋体"/>
                      <w:b/>
                      <w:kern w:val="0"/>
                      <w:szCs w:val="18"/>
                    </w:rPr>
                  </w:pPr>
                  <w:r w:rsidRPr="00C64AE1">
                    <w:rPr>
                      <w:rFonts w:ascii="Times New Roman" w:eastAsia="楷体_GB2312" w:hAnsi="Times New Roman" w:cs="宋体" w:hint="eastAsia"/>
                      <w:b/>
                      <w:kern w:val="0"/>
                      <w:szCs w:val="18"/>
                    </w:rPr>
                    <w:t>SAC</w:t>
                  </w:r>
                  <w:r w:rsidRPr="00C64AE1">
                    <w:rPr>
                      <w:rFonts w:ascii="Times New Roman" w:eastAsia="楷体_GB2312" w:hAnsi="Times New Roman" w:cs="宋体" w:hint="eastAsia"/>
                      <w:b/>
                      <w:kern w:val="0"/>
                      <w:szCs w:val="18"/>
                    </w:rPr>
                    <w:t>编号：</w:t>
                  </w:r>
                  <w:r w:rsidRPr="00C64AE1">
                    <w:rPr>
                      <w:rFonts w:ascii="Times New Roman" w:eastAsia="楷体_GB2312" w:hAnsi="Times New Roman" w:cs="宋体"/>
                      <w:b/>
                      <w:kern w:val="0"/>
                      <w:szCs w:val="18"/>
                    </w:rPr>
                    <w:t>S0290518040001</w:t>
                  </w:r>
                </w:p>
                <w:p w:rsidR="001A6B32" w:rsidRPr="00C64AE1" w:rsidRDefault="001A6B32" w:rsidP="00AA08D4">
                  <w:pPr>
                    <w:widowControl/>
                    <w:ind w:rightChars="-51" w:right="-107"/>
                    <w:jc w:val="left"/>
                    <w:rPr>
                      <w:rFonts w:ascii="Times New Roman" w:eastAsia="楷体_GB2312" w:hAnsi="Times New Roman" w:cs="宋体"/>
                      <w:b/>
                      <w:kern w:val="0"/>
                      <w:szCs w:val="18"/>
                    </w:rPr>
                  </w:pPr>
                  <w:r w:rsidRPr="00C64AE1">
                    <w:rPr>
                      <w:rFonts w:ascii="Times New Roman" w:eastAsia="楷体_GB2312" w:hAnsi="Times New Roman" w:cs="宋体" w:hint="eastAsia"/>
                      <w:b/>
                      <w:kern w:val="0"/>
                      <w:szCs w:val="18"/>
                    </w:rPr>
                    <w:t>邮</w:t>
                  </w:r>
                  <w:r w:rsidRPr="00C64AE1">
                    <w:rPr>
                      <w:rFonts w:ascii="Times New Roman" w:eastAsia="楷体_GB2312" w:hAnsi="Times New Roman" w:cs="宋体" w:hint="eastAsia"/>
                      <w:b/>
                      <w:kern w:val="0"/>
                      <w:szCs w:val="18"/>
                    </w:rPr>
                    <w:t xml:space="preserve">  </w:t>
                  </w:r>
                  <w:r w:rsidRPr="00C64AE1">
                    <w:rPr>
                      <w:rFonts w:ascii="Times New Roman" w:eastAsia="楷体_GB2312" w:hAnsi="Times New Roman" w:cs="宋体" w:hint="eastAsia"/>
                      <w:b/>
                      <w:kern w:val="0"/>
                      <w:szCs w:val="18"/>
                    </w:rPr>
                    <w:t>箱：</w:t>
                  </w:r>
                  <w:r w:rsidRPr="00C64AE1">
                    <w:rPr>
                      <w:rFonts w:ascii="Times New Roman" w:eastAsia="楷体_GB2312" w:hAnsi="Times New Roman" w:cs="宋体" w:hint="eastAsia"/>
                      <w:b/>
                      <w:kern w:val="0"/>
                      <w:szCs w:val="18"/>
                    </w:rPr>
                    <w:t>yang</w:t>
                  </w:r>
                  <w:r w:rsidRPr="00C64AE1">
                    <w:rPr>
                      <w:rFonts w:ascii="Times New Roman" w:eastAsia="楷体_GB2312" w:hAnsi="Times New Roman" w:cs="宋体"/>
                      <w:b/>
                      <w:kern w:val="0"/>
                      <w:szCs w:val="18"/>
                    </w:rPr>
                    <w:t>jianhui</w:t>
                  </w:r>
                  <w:r w:rsidRPr="00C64AE1">
                    <w:rPr>
                      <w:rFonts w:ascii="Times New Roman" w:eastAsia="楷体_GB2312" w:hAnsi="Times New Roman" w:cs="宋体" w:hint="eastAsia"/>
                      <w:b/>
                      <w:kern w:val="0"/>
                      <w:szCs w:val="18"/>
                    </w:rPr>
                    <w:t>@zszq.com</w:t>
                  </w:r>
                </w:p>
                <w:p w:rsidR="001A6B32" w:rsidRPr="00C64AE1" w:rsidRDefault="001A6B32" w:rsidP="00AA08D4">
                  <w:pPr>
                    <w:widowControl/>
                    <w:ind w:rightChars="-51" w:right="-107"/>
                    <w:jc w:val="left"/>
                    <w:rPr>
                      <w:rFonts w:ascii="Times New Roman" w:eastAsia="楷体_GB2312" w:hAnsi="Times New Roman" w:cs="宋体"/>
                      <w:b/>
                      <w:kern w:val="0"/>
                      <w:szCs w:val="18"/>
                    </w:rPr>
                  </w:pPr>
                </w:p>
                <w:p w:rsidR="00A15B9C" w:rsidRPr="00C64AE1" w:rsidRDefault="00A15B9C" w:rsidP="00AA08D4">
                  <w:pPr>
                    <w:widowControl/>
                    <w:ind w:rightChars="-51" w:right="-107"/>
                    <w:jc w:val="left"/>
                    <w:rPr>
                      <w:rFonts w:ascii="Times New Roman" w:eastAsia="楷体_GB2312" w:hAnsi="Times New Roman" w:cs="宋体"/>
                      <w:b/>
                      <w:kern w:val="0"/>
                      <w:szCs w:val="18"/>
                    </w:rPr>
                  </w:pPr>
                  <w:r w:rsidRPr="00C64AE1">
                    <w:rPr>
                      <w:rFonts w:ascii="Times New Roman" w:eastAsia="楷体_GB2312" w:hAnsi="Times New Roman" w:cs="宋体" w:hint="eastAsia"/>
                      <w:b/>
                      <w:kern w:val="0"/>
                      <w:szCs w:val="18"/>
                    </w:rPr>
                    <w:t>分析师：张雪杰</w:t>
                  </w:r>
                </w:p>
                <w:p w:rsidR="00A15B9C" w:rsidRPr="00C64AE1" w:rsidRDefault="00A15B9C" w:rsidP="00AA08D4">
                  <w:pPr>
                    <w:widowControl/>
                    <w:ind w:rightChars="-51" w:right="-107"/>
                    <w:jc w:val="left"/>
                    <w:rPr>
                      <w:rFonts w:ascii="Times New Roman" w:eastAsia="楷体_GB2312" w:hAnsi="Times New Roman" w:cs="宋体"/>
                      <w:b/>
                      <w:kern w:val="0"/>
                      <w:szCs w:val="18"/>
                    </w:rPr>
                  </w:pPr>
                  <w:r w:rsidRPr="00C64AE1">
                    <w:rPr>
                      <w:rFonts w:ascii="Times New Roman" w:eastAsia="楷体_GB2312" w:hAnsi="Times New Roman" w:cs="宋体" w:hint="eastAsia"/>
                      <w:b/>
                      <w:kern w:val="0"/>
                      <w:szCs w:val="18"/>
                    </w:rPr>
                    <w:t>SAC</w:t>
                  </w:r>
                  <w:r w:rsidRPr="00C64AE1">
                    <w:rPr>
                      <w:rFonts w:ascii="Times New Roman" w:eastAsia="楷体_GB2312" w:hAnsi="Times New Roman" w:cs="宋体" w:hint="eastAsia"/>
                      <w:b/>
                      <w:kern w:val="0"/>
                      <w:szCs w:val="18"/>
                    </w:rPr>
                    <w:t>编号：</w:t>
                  </w:r>
                  <w:r w:rsidRPr="00C64AE1">
                    <w:rPr>
                      <w:rFonts w:ascii="Times New Roman" w:eastAsia="楷体_GB2312" w:hAnsi="Times New Roman" w:cs="宋体" w:hint="eastAsia"/>
                      <w:b/>
                      <w:kern w:val="0"/>
                      <w:szCs w:val="18"/>
                    </w:rPr>
                    <w:t>S0290518120001</w:t>
                  </w:r>
                </w:p>
                <w:p w:rsidR="00A15B9C" w:rsidRPr="00C64AE1" w:rsidRDefault="00A15B9C" w:rsidP="00AA08D4">
                  <w:pPr>
                    <w:widowControl/>
                    <w:ind w:rightChars="-51" w:right="-107"/>
                    <w:jc w:val="left"/>
                    <w:rPr>
                      <w:rFonts w:ascii="Times New Roman" w:eastAsia="楷体_GB2312" w:hAnsi="Times New Roman" w:cs="宋体"/>
                      <w:b/>
                      <w:kern w:val="0"/>
                      <w:szCs w:val="18"/>
                    </w:rPr>
                  </w:pPr>
                  <w:r w:rsidRPr="00C64AE1">
                    <w:rPr>
                      <w:rFonts w:ascii="Times New Roman" w:eastAsia="楷体_GB2312" w:hAnsi="Times New Roman" w:cs="宋体" w:hint="eastAsia"/>
                      <w:b/>
                      <w:kern w:val="0"/>
                      <w:szCs w:val="18"/>
                    </w:rPr>
                    <w:t>邮</w:t>
                  </w:r>
                  <w:r w:rsidRPr="00C64AE1">
                    <w:rPr>
                      <w:rFonts w:ascii="Times New Roman" w:eastAsia="楷体_GB2312" w:hAnsi="Times New Roman" w:cs="宋体" w:hint="eastAsia"/>
                      <w:b/>
                      <w:kern w:val="0"/>
                      <w:szCs w:val="18"/>
                    </w:rPr>
                    <w:t xml:space="preserve">  </w:t>
                  </w:r>
                  <w:r w:rsidRPr="00C64AE1">
                    <w:rPr>
                      <w:rFonts w:ascii="Times New Roman" w:eastAsia="楷体_GB2312" w:hAnsi="Times New Roman" w:cs="宋体" w:hint="eastAsia"/>
                      <w:b/>
                      <w:kern w:val="0"/>
                      <w:szCs w:val="18"/>
                    </w:rPr>
                    <w:t>箱：</w:t>
                  </w:r>
                  <w:hyperlink r:id="rId10" w:history="1">
                    <w:r w:rsidRPr="00C64AE1">
                      <w:rPr>
                        <w:rStyle w:val="af"/>
                        <w:rFonts w:ascii="Times New Roman" w:eastAsia="楷体_GB2312" w:hAnsi="Times New Roman" w:cs="宋体" w:hint="eastAsia"/>
                        <w:b/>
                        <w:color w:val="auto"/>
                        <w:kern w:val="0"/>
                        <w:szCs w:val="18"/>
                        <w:u w:val="none"/>
                      </w:rPr>
                      <w:t>zhangxuejie@zszq.com</w:t>
                    </w:r>
                  </w:hyperlink>
                </w:p>
                <w:p w:rsidR="00A15B9C" w:rsidRPr="00C64AE1" w:rsidRDefault="00A15B9C" w:rsidP="00AA08D4">
                  <w:pPr>
                    <w:widowControl/>
                    <w:ind w:rightChars="-51" w:right="-107"/>
                    <w:jc w:val="left"/>
                    <w:rPr>
                      <w:rFonts w:ascii="Times New Roman" w:eastAsia="楷体_GB2312" w:hAnsi="Times New Roman" w:cs="宋体"/>
                      <w:b/>
                      <w:kern w:val="0"/>
                      <w:szCs w:val="18"/>
                    </w:rPr>
                  </w:pPr>
                </w:p>
                <w:p w:rsidR="001A6B32" w:rsidRPr="00C64AE1" w:rsidRDefault="001A6B32" w:rsidP="00AA08D4">
                  <w:pPr>
                    <w:widowControl/>
                    <w:ind w:rightChars="-51" w:right="-107"/>
                    <w:jc w:val="left"/>
                    <w:rPr>
                      <w:rFonts w:ascii="Times New Roman" w:eastAsia="楷体_GB2312" w:hAnsi="Times New Roman" w:cs="宋体"/>
                      <w:b/>
                      <w:kern w:val="0"/>
                      <w:szCs w:val="18"/>
                    </w:rPr>
                  </w:pPr>
                  <w:r w:rsidRPr="00C64AE1">
                    <w:rPr>
                      <w:rFonts w:ascii="Times New Roman" w:eastAsia="楷体_GB2312" w:hAnsi="Times New Roman" w:cs="宋体" w:hint="eastAsia"/>
                      <w:b/>
                      <w:kern w:val="0"/>
                      <w:szCs w:val="18"/>
                    </w:rPr>
                    <w:t>研究助理：邓思思</w:t>
                  </w:r>
                </w:p>
                <w:p w:rsidR="001A6B32" w:rsidRPr="00C64AE1" w:rsidRDefault="001A6B32" w:rsidP="00AA08D4">
                  <w:pPr>
                    <w:widowControl/>
                    <w:ind w:rightChars="-51" w:right="-107"/>
                    <w:jc w:val="left"/>
                    <w:rPr>
                      <w:rFonts w:ascii="Times New Roman" w:eastAsia="楷体_GB2312" w:hAnsi="Times New Roman" w:cs="宋体"/>
                      <w:b/>
                      <w:kern w:val="0"/>
                      <w:szCs w:val="18"/>
                    </w:rPr>
                  </w:pPr>
                  <w:r w:rsidRPr="00C64AE1">
                    <w:rPr>
                      <w:rFonts w:ascii="Times New Roman" w:eastAsia="楷体_GB2312" w:hAnsi="Times New Roman" w:cs="宋体" w:hint="eastAsia"/>
                      <w:b/>
                      <w:kern w:val="0"/>
                      <w:szCs w:val="18"/>
                    </w:rPr>
                    <w:t xml:space="preserve">          </w:t>
                  </w:r>
                  <w:r w:rsidRPr="00C64AE1">
                    <w:rPr>
                      <w:rFonts w:ascii="Times New Roman" w:eastAsia="楷体_GB2312" w:hAnsi="Times New Roman" w:cs="宋体" w:hint="eastAsia"/>
                      <w:b/>
                      <w:kern w:val="0"/>
                      <w:szCs w:val="18"/>
                    </w:rPr>
                    <w:t>刘</w:t>
                  </w:r>
                  <w:r w:rsidRPr="00C64AE1">
                    <w:rPr>
                      <w:rFonts w:ascii="Times New Roman" w:eastAsia="楷体_GB2312" w:hAnsi="Times New Roman" w:cs="宋体" w:hint="eastAsia"/>
                      <w:b/>
                      <w:kern w:val="0"/>
                      <w:szCs w:val="18"/>
                    </w:rPr>
                    <w:t xml:space="preserve"> </w:t>
                  </w:r>
                  <w:r w:rsidRPr="00C64AE1">
                    <w:rPr>
                      <w:rFonts w:ascii="Times New Roman" w:eastAsia="楷体_GB2312" w:hAnsi="Times New Roman" w:cs="宋体"/>
                      <w:b/>
                      <w:kern w:val="0"/>
                      <w:szCs w:val="18"/>
                    </w:rPr>
                    <w:t xml:space="preserve"> </w:t>
                  </w:r>
                  <w:r w:rsidRPr="00C64AE1">
                    <w:rPr>
                      <w:rFonts w:ascii="Times New Roman" w:eastAsia="楷体_GB2312" w:hAnsi="Times New Roman" w:cs="宋体" w:hint="eastAsia"/>
                      <w:b/>
                      <w:kern w:val="0"/>
                      <w:szCs w:val="18"/>
                    </w:rPr>
                    <w:t>波</w:t>
                  </w:r>
                </w:p>
                <w:p w:rsidR="001A6B32" w:rsidRPr="00C64AE1" w:rsidRDefault="001A6B32" w:rsidP="00AA08D4">
                  <w:pPr>
                    <w:widowControl/>
                    <w:ind w:rightChars="-51" w:right="-107"/>
                    <w:jc w:val="left"/>
                    <w:rPr>
                      <w:rFonts w:ascii="Times New Roman" w:eastAsia="楷体_GB2312" w:hAnsi="Times New Roman" w:cs="宋体"/>
                      <w:b/>
                      <w:kern w:val="0"/>
                      <w:szCs w:val="18"/>
                    </w:rPr>
                  </w:pPr>
                </w:p>
              </w:tc>
            </w:tr>
            <w:tr w:rsidR="001A6B32" w:rsidRPr="00C64AE1" w:rsidTr="00FE0EF8">
              <w:trPr>
                <w:trHeight w:val="340"/>
              </w:trPr>
              <w:tc>
                <w:tcPr>
                  <w:tcW w:w="3488" w:type="dxa"/>
                </w:tcPr>
                <w:p w:rsidR="001A6B32" w:rsidRPr="00C64AE1" w:rsidRDefault="001A6B32" w:rsidP="00AA08D4">
                  <w:pPr>
                    <w:widowControl/>
                    <w:ind w:rightChars="-51" w:right="-107"/>
                    <w:jc w:val="left"/>
                    <w:rPr>
                      <w:rFonts w:ascii="Times New Roman" w:eastAsia="楷体_GB2312" w:hAnsi="Times New Roman" w:cs="宋体"/>
                      <w:b/>
                      <w:kern w:val="0"/>
                      <w:szCs w:val="18"/>
                    </w:rPr>
                  </w:pPr>
                  <w:r w:rsidRPr="00C64AE1">
                    <w:rPr>
                      <w:rFonts w:ascii="Times New Roman" w:eastAsia="楷体_GB2312" w:hAnsi="Times New Roman" w:cs="宋体" w:hint="eastAsia"/>
                      <w:b/>
                      <w:kern w:val="0"/>
                      <w:szCs w:val="18"/>
                    </w:rPr>
                    <w:t>联系人：张渝枢</w:t>
                  </w:r>
                </w:p>
                <w:p w:rsidR="001A6B32" w:rsidRPr="00C64AE1" w:rsidRDefault="001A6B32" w:rsidP="00AA08D4">
                  <w:pPr>
                    <w:widowControl/>
                    <w:ind w:rightChars="-51" w:right="-107"/>
                    <w:jc w:val="left"/>
                    <w:rPr>
                      <w:rFonts w:ascii="Times New Roman" w:eastAsia="楷体_GB2312" w:hAnsi="Times New Roman" w:cs="宋体"/>
                      <w:b/>
                      <w:kern w:val="0"/>
                      <w:szCs w:val="18"/>
                    </w:rPr>
                  </w:pPr>
                  <w:r w:rsidRPr="00C64AE1">
                    <w:rPr>
                      <w:rFonts w:ascii="Times New Roman" w:eastAsia="楷体_GB2312" w:hAnsi="Times New Roman" w:cs="宋体" w:hint="eastAsia"/>
                      <w:b/>
                      <w:kern w:val="0"/>
                      <w:szCs w:val="18"/>
                    </w:rPr>
                    <w:t>电话：：</w:t>
                  </w:r>
                  <w:r w:rsidRPr="00C64AE1">
                    <w:rPr>
                      <w:rFonts w:ascii="Times New Roman" w:eastAsia="楷体_GB2312" w:hAnsi="Times New Roman" w:cs="宋体" w:hint="eastAsia"/>
                      <w:b/>
                      <w:kern w:val="0"/>
                      <w:szCs w:val="18"/>
                    </w:rPr>
                    <w:t>0755-82590596</w:t>
                  </w:r>
                </w:p>
                <w:p w:rsidR="00CC48BC" w:rsidRPr="00C64AE1" w:rsidRDefault="00CC48BC" w:rsidP="00AA08D4">
                  <w:pPr>
                    <w:widowControl/>
                    <w:ind w:rightChars="-51" w:right="-107"/>
                    <w:jc w:val="left"/>
                    <w:rPr>
                      <w:rFonts w:ascii="Times New Roman" w:eastAsia="楷体_GB2312" w:hAnsi="Times New Roman" w:cs="宋体"/>
                      <w:b/>
                      <w:kern w:val="0"/>
                      <w:szCs w:val="18"/>
                    </w:rPr>
                  </w:pPr>
                </w:p>
              </w:tc>
            </w:tr>
          </w:tbl>
          <w:p w:rsidR="00715799" w:rsidRPr="00C64AE1" w:rsidRDefault="00423A17" w:rsidP="00715799">
            <w:pPr>
              <w:rPr>
                <w:rFonts w:ascii="楷体" w:eastAsia="楷体" w:hAnsi="楷体" w:cs="Times New Roman"/>
                <w:b/>
                <w:szCs w:val="21"/>
              </w:rPr>
            </w:pPr>
            <w:r w:rsidRPr="00423A17">
              <w:rPr>
                <w:noProof/>
              </w:rPr>
              <w:pict>
                <v:shape id="Text Box 3" o:spid="_x0000_s1027" type="#_x0000_t202" alt="01" style="position:absolute;left:0;text-align:left;margin-left:.45pt;margin-top:2.45pt;width:185.1pt;height:19.85pt;z-index:251659264;visibility:visible;mso-position-horizontal-relative:text;mso-position-vertical-relative:text;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" stroked="f">
                  <v:fill r:id="rId11" o:title="01" recolor="t" type="frame"/>
                  <v:textbox>
                    <w:txbxContent>
                      <w:p w:rsidR="00023874" w:rsidRPr="002E46BD" w:rsidRDefault="00023874" w:rsidP="00715799">
                        <w:pPr>
                          <w:ind w:leftChars="50" w:left="105" w:firstLineChars="49" w:firstLine="108"/>
                          <w:rPr>
                            <w:rFonts w:ascii="楷体_GB2312" w:eastAsia="楷体_GB2312" w:hAnsi="新宋体"/>
                            <w:b/>
                            <w:color w:val="FFFFFF"/>
                            <w:sz w:val="22"/>
                          </w:rPr>
                        </w:pPr>
                        <w:r>
                          <w:rPr>
                            <w:rFonts w:ascii="楷体_GB2312" w:eastAsia="楷体_GB2312" w:hAnsi="新宋体" w:hint="eastAsia"/>
                            <w:b/>
                            <w:color w:val="FFFFFF"/>
                            <w:sz w:val="22"/>
                          </w:rPr>
                          <w:t>市场主要指数</w:t>
                        </w:r>
                        <w:r>
                          <w:rPr>
                            <w:rFonts w:ascii="楷体_GB2312" w:eastAsia="楷体_GB2312" w:hAnsi="新宋体"/>
                            <w:b/>
                            <w:color w:val="FFFFFF"/>
                            <w:sz w:val="22"/>
                          </w:rPr>
                          <w:t>走势</w:t>
                        </w:r>
                      </w:p>
                    </w:txbxContent>
                  </v:textbox>
                </v:shape>
              </w:pict>
            </w:r>
          </w:p>
          <w:p w:rsidR="00715799" w:rsidRPr="00C64AE1" w:rsidRDefault="00715799" w:rsidP="00715799">
            <w:pPr>
              <w:spacing w:line="200" w:lineRule="exact"/>
              <w:rPr>
                <w:rFonts w:ascii="楷体" w:eastAsia="楷体" w:hAnsi="楷体" w:cs="Times New Roman"/>
                <w:b/>
                <w:szCs w:val="21"/>
              </w:rPr>
            </w:pPr>
          </w:p>
          <w:tbl>
            <w:tblPr>
              <w:tblW w:w="3358" w:type="dxa"/>
              <w:tblInd w:w="113" w:type="dxa"/>
              <w:tblLayout w:type="fixed"/>
              <w:tblLook w:val="01E0"/>
            </w:tblPr>
            <w:tblGrid>
              <w:gridCol w:w="137"/>
              <w:gridCol w:w="3221"/>
            </w:tblGrid>
            <w:tr w:rsidR="00715799" w:rsidRPr="00C64AE1" w:rsidTr="003642F3">
              <w:trPr>
                <w:gridBefore w:val="1"/>
                <w:wBefore w:w="137" w:type="dxa"/>
                <w:trHeight w:hRule="exact" w:val="16"/>
              </w:trPr>
              <w:tc>
                <w:tcPr>
                  <w:tcW w:w="3221" w:type="dxa"/>
                  <w:noWrap/>
                  <w:tcMar>
                    <w:left w:w="0" w:type="dxa"/>
                  </w:tcMar>
                </w:tcPr>
                <w:p w:rsidR="00715799" w:rsidRPr="00C64AE1" w:rsidRDefault="00715799" w:rsidP="00715799">
                  <w:pPr>
                    <w:spacing w:line="0" w:lineRule="atLeast"/>
                    <w:jc w:val="left"/>
                    <w:rPr>
                      <w:rFonts w:ascii="楷体" w:eastAsia="楷体" w:hAnsi="楷体" w:cs="Times New Roman"/>
                      <w:sz w:val="28"/>
                    </w:rPr>
                  </w:pPr>
                  <w:r w:rsidRPr="00C64AE1">
                    <w:rPr>
                      <w:rFonts w:ascii="楷体" w:eastAsia="楷体" w:hAnsi="楷体" w:cs="Times New Roman" w:hint="eastAsia"/>
                      <w:sz w:val="28"/>
                    </w:rPr>
                    <w:t>[</w:t>
                  </w:r>
                  <w:r w:rsidRPr="00C64AE1">
                    <w:rPr>
                      <w:rFonts w:ascii="楷体" w:eastAsia="楷体" w:hAnsi="楷体" w:cs="Times New Roman"/>
                      <w:sz w:val="28"/>
                    </w:rPr>
                    <w:t>table_stockTrend</w:t>
                  </w:r>
                  <w:r w:rsidRPr="00C64AE1">
                    <w:rPr>
                      <w:rFonts w:ascii="楷体" w:eastAsia="楷体" w:hAnsi="楷体" w:cs="Times New Roman" w:hint="eastAsia"/>
                      <w:sz w:val="28"/>
                    </w:rPr>
                    <w:t>]</w:t>
                  </w:r>
                </w:p>
              </w:tc>
            </w:tr>
            <w:tr w:rsidR="00715799" w:rsidRPr="00C64AE1" w:rsidTr="003642F3">
              <w:trPr>
                <w:trHeight w:val="1910"/>
              </w:trPr>
              <w:tc>
                <w:tcPr>
                  <w:tcW w:w="3358" w:type="dxa"/>
                  <w:gridSpan w:val="2"/>
                  <w:tcMar>
                    <w:left w:w="0" w:type="dxa"/>
                  </w:tcMar>
                </w:tcPr>
                <w:p w:rsidR="00715799" w:rsidRPr="00C64AE1" w:rsidRDefault="003642F3" w:rsidP="00715799">
                  <w:pPr>
                    <w:jc w:val="left"/>
                    <w:rPr>
                      <w:rFonts w:ascii="楷体" w:eastAsia="楷体" w:hAnsi="楷体" w:cs="Times New Roman"/>
                      <w:szCs w:val="24"/>
                    </w:rPr>
                  </w:pPr>
                  <w:r w:rsidRPr="00C64AE1">
                    <w:rPr>
                      <w:rFonts w:ascii="楷体" w:eastAsia="楷体" w:hAnsi="楷体" w:cs="Times New Roman"/>
                      <w:noProof/>
                      <w:szCs w:val="24"/>
                    </w:rPr>
                    <w:drawing>
                      <wp:inline distT="0" distB="0" distL="0" distR="0">
                        <wp:extent cx="2063750" cy="1098550"/>
                        <wp:effectExtent l="1905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064331" cy="1098859"/>
                                </a:xfrm>
                                <a:prstGeom prst="rect">
                                  <a:avLst/>
                                </a:prstGeom>
                                <a:noFill/>
                                <a:ln w="9525">
                                  <a:noFill/>
                                  <a:miter lim="800000"/>
                                  <a:headEnd/>
                                  <a:tailEnd/>
                                </a:ln>
                              </pic:spPr>
                            </pic:pic>
                          </a:graphicData>
                        </a:graphic>
                      </wp:inline>
                    </w:drawing>
                  </w:r>
                </w:p>
              </w:tc>
            </w:tr>
          </w:tbl>
          <w:p w:rsidR="00715799" w:rsidRPr="00C64AE1" w:rsidRDefault="00423A17" w:rsidP="00715799">
            <w:pPr>
              <w:rPr>
                <w:rFonts w:ascii="楷体" w:eastAsia="楷体" w:hAnsi="楷体" w:cs="Times New Roman"/>
                <w:b/>
                <w:szCs w:val="21"/>
              </w:rPr>
            </w:pPr>
            <w:r w:rsidRPr="00423A17">
              <w:rPr>
                <w:noProof/>
              </w:rPr>
              <w:pict>
                <v:shape id="Text Box 4" o:spid="_x0000_s1026" type="#_x0000_t202" alt="01" style="position:absolute;left:0;text-align:left;margin-left:-1.35pt;margin-top:7.95pt;width:185.1pt;height:19.85pt;z-index:251660288;visibility:visible;mso-position-horizontal-relative:text;mso-position-vertical-relative:text;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" stroked="f">
                  <v:fill r:id="rId11" o:title="01" recolor="t" type="frame"/>
                  <v:textbox style="mso-next-textbox:#Text Box 4">
                    <w:txbxContent>
                      <w:p w:rsidR="00023874" w:rsidRPr="002E46BD" w:rsidRDefault="00023874" w:rsidP="00715799">
                        <w:pPr>
                          <w:spacing w:line="280" w:lineRule="exact"/>
                          <w:ind w:leftChars="50" w:left="105" w:firstLineChars="49" w:firstLine="108"/>
                          <w:rPr>
                            <w:rFonts w:ascii="楷体_GB2312" w:eastAsia="楷体_GB2312" w:hAnsi="新宋体"/>
                            <w:b/>
                            <w:color w:val="FFFFFF"/>
                            <w:sz w:val="22"/>
                          </w:rPr>
                        </w:pPr>
                        <w:r w:rsidRPr="002E46BD">
                          <w:rPr>
                            <w:rFonts w:ascii="楷体_GB2312" w:eastAsia="楷体_GB2312" w:hAnsi="新宋体" w:hint="eastAsia"/>
                            <w:b/>
                            <w:color w:val="FFFFFF"/>
                            <w:sz w:val="22"/>
                          </w:rPr>
                          <w:t>相关研究报告</w:t>
                        </w:r>
                      </w:p>
                    </w:txbxContent>
                  </v:textbox>
                </v:shape>
              </w:pict>
            </w:r>
          </w:p>
          <w:p w:rsidR="00715799" w:rsidRPr="00C64AE1" w:rsidRDefault="00715799" w:rsidP="00715799">
            <w:pPr>
              <w:rPr>
                <w:rFonts w:ascii="楷体" w:eastAsia="楷体" w:hAnsi="楷体" w:cs="Times New Roman"/>
                <w:b/>
                <w:szCs w:val="21"/>
              </w:rPr>
            </w:pPr>
          </w:p>
          <w:tbl>
            <w:tblPr>
              <w:tblW w:w="0" w:type="auto"/>
              <w:tblInd w:w="113" w:type="dxa"/>
              <w:tblLayout w:type="fixed"/>
              <w:tblLook w:val="04A0"/>
            </w:tblPr>
            <w:tblGrid>
              <w:gridCol w:w="3488"/>
            </w:tblGrid>
            <w:tr w:rsidR="00715799" w:rsidRPr="00C64AE1" w:rsidTr="00FE0EF8">
              <w:trPr>
                <w:trHeight w:hRule="exact" w:val="16"/>
              </w:trPr>
              <w:tc>
                <w:tcPr>
                  <w:tcW w:w="3488" w:type="dxa"/>
                </w:tcPr>
                <w:p w:rsidR="00715799" w:rsidRPr="00C64AE1" w:rsidRDefault="00715799" w:rsidP="00715799">
                  <w:pPr>
                    <w:rPr>
                      <w:rFonts w:ascii="楷体" w:eastAsia="楷体" w:hAnsi="楷体" w:cs="Times New Roman"/>
                      <w:szCs w:val="21"/>
                    </w:rPr>
                  </w:pPr>
                  <w:r w:rsidRPr="00C64AE1">
                    <w:rPr>
                      <w:rFonts w:ascii="楷体" w:eastAsia="楷体" w:hAnsi="楷体" w:cs="Times New Roman" w:hint="eastAsia"/>
                      <w:szCs w:val="21"/>
                    </w:rPr>
                    <w:t>[table_product]</w:t>
                  </w:r>
                </w:p>
              </w:tc>
            </w:tr>
            <w:tr w:rsidR="00715799" w:rsidRPr="00C64AE1" w:rsidTr="00FE0EF8">
              <w:trPr>
                <w:trHeight w:hRule="exact" w:val="1986"/>
              </w:trPr>
              <w:tc>
                <w:tcPr>
                  <w:tcW w:w="3488" w:type="dxa"/>
                </w:tcPr>
                <w:p w:rsidR="00366402" w:rsidRPr="00C64AE1" w:rsidRDefault="00366402" w:rsidP="00366402">
                  <w:pPr>
                    <w:pStyle w:val="ad"/>
                    <w:numPr>
                      <w:ilvl w:val="0"/>
                      <w:numId w:val="2"/>
                    </w:numPr>
                    <w:ind w:firstLineChars="0"/>
                    <w:rPr>
                      <w:rFonts w:ascii="楷体" w:eastAsia="楷体" w:hAnsi="楷体" w:cs="Times New Roman"/>
                      <w:sz w:val="18"/>
                      <w:szCs w:val="18"/>
                    </w:rPr>
                  </w:pPr>
                  <w:r w:rsidRPr="00C64AE1">
                    <w:rPr>
                      <w:rFonts w:ascii="楷体" w:eastAsia="楷体" w:hAnsi="楷体" w:cs="Times New Roman" w:hint="eastAsia"/>
                      <w:sz w:val="18"/>
                      <w:szCs w:val="18"/>
                    </w:rPr>
                    <w:t>市场资金供需失衡，股市下行风险仍在                    2018-07-03</w:t>
                  </w:r>
                </w:p>
              </w:tc>
            </w:tr>
            <w:tr w:rsidR="00366402" w:rsidRPr="00C64AE1" w:rsidTr="00FE0EF8">
              <w:trPr>
                <w:trHeight w:hRule="exact" w:val="1986"/>
              </w:trPr>
              <w:tc>
                <w:tcPr>
                  <w:tcW w:w="3488" w:type="dxa"/>
                </w:tcPr>
                <w:p w:rsidR="00366402" w:rsidRPr="00C64AE1" w:rsidRDefault="00366402" w:rsidP="00715799">
                  <w:pPr>
                    <w:rPr>
                      <w:rFonts w:ascii="楷体" w:eastAsia="楷体" w:hAnsi="楷体" w:cs="Times New Roman"/>
                      <w:sz w:val="18"/>
                      <w:szCs w:val="18"/>
                    </w:rPr>
                  </w:pPr>
                </w:p>
              </w:tc>
            </w:tr>
          </w:tbl>
          <w:p w:rsidR="00715799" w:rsidRPr="00C64AE1" w:rsidRDefault="00715799" w:rsidP="00715799">
            <w:pPr>
              <w:rPr>
                <w:rFonts w:ascii="楷体" w:eastAsia="楷体" w:hAnsi="楷体" w:cs="Times New Roman"/>
                <w:b/>
                <w:szCs w:val="21"/>
              </w:rPr>
            </w:pPr>
          </w:p>
        </w:tc>
        <w:tc>
          <w:tcPr>
            <w:tcW w:w="7512" w:type="dxa"/>
          </w:tcPr>
          <w:tbl>
            <w:tblPr>
              <w:tblW w:w="7314" w:type="dxa"/>
              <w:tblLayout w:type="fixed"/>
              <w:tblLook w:val="01E0"/>
            </w:tblPr>
            <w:tblGrid>
              <w:gridCol w:w="3793"/>
              <w:gridCol w:w="3521"/>
            </w:tblGrid>
            <w:tr w:rsidR="00715799" w:rsidRPr="00C64AE1" w:rsidTr="00FE0EF8">
              <w:trPr>
                <w:trHeight w:hRule="exact" w:val="20"/>
              </w:trPr>
              <w:tc>
                <w:tcPr>
                  <w:tcW w:w="2593" w:type="pct"/>
                </w:tcPr>
                <w:p w:rsidR="00715799" w:rsidRPr="00C64AE1" w:rsidRDefault="00715799" w:rsidP="00715799">
                  <w:pPr>
                    <w:rPr>
                      <w:rFonts w:ascii="楷体" w:eastAsia="楷体" w:hAnsi="楷体" w:cs="Times New Roman"/>
                      <w:szCs w:val="21"/>
                    </w:rPr>
                  </w:pPr>
                  <w:r w:rsidRPr="00C64AE1">
                    <w:rPr>
                      <w:rFonts w:ascii="楷体" w:eastAsia="楷体" w:hAnsi="楷体" w:cs="Times New Roman" w:hint="eastAsia"/>
                      <w:szCs w:val="21"/>
                    </w:rPr>
                    <w:t>[table_main]</w:t>
                  </w:r>
                </w:p>
              </w:tc>
              <w:tc>
                <w:tcPr>
                  <w:tcW w:w="2407" w:type="pct"/>
                </w:tcPr>
                <w:p w:rsidR="00715799" w:rsidRPr="00C64AE1" w:rsidRDefault="00715799" w:rsidP="00715799">
                  <w:pPr>
                    <w:rPr>
                      <w:rFonts w:ascii="楷体" w:eastAsia="楷体" w:hAnsi="楷体" w:cs="Times New Roman"/>
                      <w:szCs w:val="21"/>
                    </w:rPr>
                  </w:pPr>
                  <w:r w:rsidRPr="00C64AE1">
                    <w:rPr>
                      <w:rFonts w:ascii="楷体" w:eastAsia="楷体" w:hAnsi="楷体" w:cs="Times New Roman" w:hint="eastAsia"/>
                      <w:szCs w:val="21"/>
                    </w:rPr>
                    <w:t>中山行业研究类模板</w:t>
                  </w:r>
                </w:p>
              </w:tc>
            </w:tr>
            <w:tr w:rsidR="00715799" w:rsidRPr="00C64AE1" w:rsidTr="00FE0EF8">
              <w:trPr>
                <w:trHeight w:val="8209"/>
              </w:trPr>
              <w:tc>
                <w:tcPr>
                  <w:tcW w:w="5000" w:type="pct"/>
                  <w:gridSpan w:val="2"/>
                </w:tcPr>
                <w:p w:rsidR="00715799" w:rsidRPr="00C64AE1" w:rsidRDefault="00715799" w:rsidP="00715799">
                  <w:pPr>
                    <w:rPr>
                      <w:rFonts w:ascii="楷体" w:eastAsia="楷体" w:hAnsi="楷体" w:cs="Times New Roman"/>
                      <w:b/>
                      <w:sz w:val="28"/>
                      <w:szCs w:val="28"/>
                    </w:rPr>
                  </w:pPr>
                  <w:r w:rsidRPr="00C64AE1">
                    <w:rPr>
                      <w:rFonts w:ascii="楷体" w:eastAsia="楷体" w:hAnsi="楷体" w:cs="Times New Roman"/>
                      <w:b/>
                      <w:sz w:val="28"/>
                      <w:szCs w:val="28"/>
                    </w:rPr>
                    <w:t>◎投资要点：</w:t>
                  </w:r>
                </w:p>
                <w:p w:rsidR="00715799" w:rsidRPr="00C64AE1" w:rsidRDefault="00A740BD" w:rsidP="003C46D5">
                  <w:pPr>
                    <w:numPr>
                      <w:ilvl w:val="0"/>
                      <w:numId w:val="1"/>
                    </w:numPr>
                    <w:spacing w:line="312" w:lineRule="auto"/>
                    <w:ind w:left="211" w:hangingChars="100" w:hanging="211"/>
                    <w:rPr>
                      <w:rFonts w:ascii="楷体" w:eastAsia="楷体" w:hAnsi="楷体" w:cs="Times New Roman"/>
                      <w:b/>
                    </w:rPr>
                  </w:pPr>
                  <w:r w:rsidRPr="00C64AE1">
                    <w:rPr>
                      <w:rFonts w:ascii="楷体" w:eastAsia="楷体" w:hAnsi="楷体" w:cs="Times New Roman" w:hint="eastAsia"/>
                      <w:b/>
                    </w:rPr>
                    <w:t>股指上行压力</w:t>
                  </w:r>
                  <w:r w:rsidR="00E55033" w:rsidRPr="00C64AE1">
                    <w:rPr>
                      <w:rFonts w:ascii="楷体" w:eastAsia="楷体" w:hAnsi="楷体" w:cs="Times New Roman" w:hint="eastAsia"/>
                      <w:b/>
                    </w:rPr>
                    <w:t>显著，</w:t>
                  </w:r>
                  <w:r w:rsidR="00EA2312" w:rsidRPr="00C64AE1">
                    <w:rPr>
                      <w:rFonts w:ascii="楷体" w:eastAsia="楷体" w:hAnsi="楷体" w:cs="Times New Roman" w:hint="eastAsia"/>
                      <w:b/>
                    </w:rPr>
                    <w:t>市场</w:t>
                  </w:r>
                  <w:r w:rsidR="00E55033" w:rsidRPr="00C64AE1">
                    <w:rPr>
                      <w:rFonts w:ascii="楷体" w:eastAsia="楷体" w:hAnsi="楷体" w:cs="Times New Roman" w:hint="eastAsia"/>
                      <w:b/>
                    </w:rPr>
                    <w:t>资</w:t>
                  </w:r>
                  <w:r w:rsidR="00EA2312" w:rsidRPr="00C64AE1">
                    <w:rPr>
                      <w:rFonts w:ascii="楷体" w:eastAsia="楷体" w:hAnsi="楷体" w:cs="Times New Roman" w:hint="eastAsia"/>
                      <w:b/>
                    </w:rPr>
                    <w:t>金拟向</w:t>
                  </w:r>
                  <w:r w:rsidR="00E55033" w:rsidRPr="00C64AE1">
                    <w:rPr>
                      <w:rFonts w:ascii="楷体" w:eastAsia="楷体" w:hAnsi="楷体" w:cs="Times New Roman" w:hint="eastAsia"/>
                      <w:b/>
                    </w:rPr>
                    <w:t>创业板与中小板倾斜</w:t>
                  </w:r>
                  <w:r w:rsidR="00715799" w:rsidRPr="00C64AE1">
                    <w:rPr>
                      <w:rFonts w:ascii="楷体" w:eastAsia="楷体" w:hAnsi="楷体" w:cs="Times New Roman" w:hint="eastAsia"/>
                      <w:b/>
                    </w:rPr>
                    <w:t>。</w:t>
                  </w:r>
                  <w:r w:rsidRPr="00C64AE1">
                    <w:rPr>
                      <w:rFonts w:ascii="楷体" w:eastAsia="楷体" w:hAnsi="楷体" w:cs="Times New Roman" w:hint="eastAsia"/>
                    </w:rPr>
                    <w:t>融资融券趋势性下行、大股质押市值与疑似触及平仓线规模持续高压，解禁市值高企、成交量逐步下行且趋势弱化，主力资金持续净流出、北上资金增量放缓、分析师与基金经理悲观预期升温，预期指数延续底部缩量震荡偏空的格局。</w:t>
                  </w:r>
                  <w:r w:rsidR="00EA2312" w:rsidRPr="00C64AE1">
                    <w:rPr>
                      <w:rFonts w:ascii="楷体" w:eastAsia="楷体" w:hAnsi="楷体" w:cs="Times New Roman" w:hint="eastAsia"/>
                    </w:rPr>
                    <w:t>资金流向分化，中小板与创业板窄幅震荡后，主力资金净流入稳步增长，</w:t>
                  </w:r>
                  <w:r w:rsidR="00A978C5" w:rsidRPr="00C64AE1">
                    <w:rPr>
                      <w:rFonts w:ascii="楷体" w:eastAsia="楷体" w:hAnsi="楷体" w:cs="Times New Roman" w:hint="eastAsia"/>
                    </w:rPr>
                    <w:t>在内部政策相对宽松且逐步落实，外部摩擦有序缓解的前提下，</w:t>
                  </w:r>
                  <w:r w:rsidR="00EA2312" w:rsidRPr="00C64AE1">
                    <w:rPr>
                      <w:rFonts w:ascii="楷体" w:eastAsia="楷体" w:hAnsi="楷体" w:cs="Times New Roman" w:hint="eastAsia"/>
                    </w:rPr>
                    <w:t>中小板与创业板</w:t>
                  </w:r>
                  <w:r w:rsidR="004C3C6C" w:rsidRPr="00C64AE1">
                    <w:rPr>
                      <w:rFonts w:ascii="楷体" w:eastAsia="楷体" w:hAnsi="楷体" w:cs="Times New Roman" w:hint="eastAsia"/>
                    </w:rPr>
                    <w:t>有望</w:t>
                  </w:r>
                  <w:r w:rsidR="00A14AB8" w:rsidRPr="00C64AE1">
                    <w:rPr>
                      <w:rFonts w:ascii="楷体" w:eastAsia="楷体" w:hAnsi="楷体" w:cs="Times New Roman" w:hint="eastAsia"/>
                    </w:rPr>
                    <w:t>领</w:t>
                  </w:r>
                  <w:r w:rsidR="004C3C6C" w:rsidRPr="00C64AE1">
                    <w:rPr>
                      <w:rFonts w:ascii="楷体" w:eastAsia="楷体" w:hAnsi="楷体" w:cs="Times New Roman" w:hint="eastAsia"/>
                    </w:rPr>
                    <w:t>先</w:t>
                  </w:r>
                  <w:r w:rsidR="00A14AB8" w:rsidRPr="00C64AE1">
                    <w:rPr>
                      <w:rFonts w:ascii="楷体" w:eastAsia="楷体" w:hAnsi="楷体" w:cs="Times New Roman" w:hint="eastAsia"/>
                    </w:rPr>
                    <w:t>主板</w:t>
                  </w:r>
                  <w:r w:rsidR="004C3C6C" w:rsidRPr="00C64AE1">
                    <w:rPr>
                      <w:rFonts w:ascii="楷体" w:eastAsia="楷体" w:hAnsi="楷体" w:cs="Times New Roman" w:hint="eastAsia"/>
                    </w:rPr>
                    <w:t>反弹</w:t>
                  </w:r>
                  <w:r w:rsidR="00EA2312" w:rsidRPr="00C64AE1">
                    <w:rPr>
                      <w:rFonts w:ascii="楷体" w:eastAsia="楷体" w:hAnsi="楷体" w:cs="Times New Roman" w:hint="eastAsia"/>
                    </w:rPr>
                    <w:t>。</w:t>
                  </w:r>
                </w:p>
                <w:p w:rsidR="00715799" w:rsidRPr="00C64AE1" w:rsidRDefault="00A740BD" w:rsidP="00446770">
                  <w:pPr>
                    <w:numPr>
                      <w:ilvl w:val="0"/>
                      <w:numId w:val="1"/>
                    </w:numPr>
                    <w:spacing w:beforeLines="50" w:line="312" w:lineRule="auto"/>
                    <w:ind w:left="211" w:hangingChars="100" w:hanging="211"/>
                    <w:rPr>
                      <w:rFonts w:ascii="楷体" w:eastAsia="楷体" w:hAnsi="楷体" w:cs="Times New Roman"/>
                      <w:b/>
                    </w:rPr>
                  </w:pPr>
                  <w:r w:rsidRPr="00C64AE1">
                    <w:rPr>
                      <w:rFonts w:ascii="楷体" w:eastAsia="楷体" w:hAnsi="楷体" w:cs="Times New Roman" w:hint="eastAsia"/>
                      <w:b/>
                    </w:rPr>
                    <w:t>择时模型</w:t>
                  </w:r>
                  <w:r w:rsidR="00BC7FB4" w:rsidRPr="00C64AE1">
                    <w:rPr>
                      <w:rFonts w:ascii="楷体" w:eastAsia="楷体" w:hAnsi="楷体" w:cs="Times New Roman" w:hint="eastAsia"/>
                      <w:b/>
                    </w:rPr>
                    <w:t>中长期震荡</w:t>
                  </w:r>
                  <w:r w:rsidRPr="00C64AE1">
                    <w:rPr>
                      <w:rFonts w:ascii="楷体" w:eastAsia="楷体" w:hAnsi="楷体" w:cs="Times New Roman" w:hint="eastAsia"/>
                      <w:b/>
                    </w:rPr>
                    <w:t>看空沪深两市</w:t>
                  </w:r>
                  <w:r w:rsidR="00A14AB8" w:rsidRPr="00C64AE1">
                    <w:rPr>
                      <w:rFonts w:ascii="楷体" w:eastAsia="楷体" w:hAnsi="楷体" w:cs="Times New Roman" w:hint="eastAsia"/>
                      <w:b/>
                    </w:rPr>
                    <w:t>主要</w:t>
                  </w:r>
                  <w:r w:rsidRPr="00C64AE1">
                    <w:rPr>
                      <w:rFonts w:ascii="楷体" w:eastAsia="楷体" w:hAnsi="楷体" w:cs="Times New Roman" w:hint="eastAsia"/>
                      <w:b/>
                    </w:rPr>
                    <w:t>股指</w:t>
                  </w:r>
                  <w:r w:rsidR="00715799" w:rsidRPr="00C64AE1">
                    <w:rPr>
                      <w:rFonts w:ascii="楷体" w:eastAsia="楷体" w:hAnsi="楷体" w:cs="Times New Roman" w:hint="eastAsia"/>
                      <w:b/>
                    </w:rPr>
                    <w:t>。</w:t>
                  </w:r>
                  <w:r w:rsidR="00A978C5" w:rsidRPr="00C64AE1">
                    <w:rPr>
                      <w:rFonts w:ascii="楷体" w:eastAsia="楷体" w:hAnsi="楷体" w:cs="Times New Roman" w:hint="eastAsia"/>
                    </w:rPr>
                    <w:t>在道氏理论框架下，应用最快收敛法则、自适应算法与因子分析法等前沿理论，构建的择时模型</w:t>
                  </w:r>
                  <w:r w:rsidR="00D15C08" w:rsidRPr="00C64AE1">
                    <w:rPr>
                      <w:rFonts w:ascii="楷体" w:eastAsia="楷体" w:hAnsi="楷体" w:cs="Times New Roman" w:hint="eastAsia"/>
                    </w:rPr>
                    <w:t>中、长期</w:t>
                  </w:r>
                  <w:r w:rsidR="00A978C5" w:rsidRPr="00C64AE1">
                    <w:rPr>
                      <w:rFonts w:ascii="楷体" w:eastAsia="楷体" w:hAnsi="楷体" w:cs="Times New Roman" w:hint="eastAsia"/>
                    </w:rPr>
                    <w:t>震荡看空上证综指、沪深300、创业板指与中小板指，以及中证500、中证1000。历史数据下的</w:t>
                  </w:r>
                  <w:r w:rsidR="00A14AB8" w:rsidRPr="00C64AE1">
                    <w:rPr>
                      <w:rFonts w:ascii="楷体" w:eastAsia="楷体" w:hAnsi="楷体" w:cs="Times New Roman" w:hint="eastAsia"/>
                    </w:rPr>
                    <w:t>多空强度</w:t>
                  </w:r>
                  <w:r w:rsidR="00A978C5" w:rsidRPr="00C64AE1">
                    <w:rPr>
                      <w:rFonts w:ascii="楷体" w:eastAsia="楷体" w:hAnsi="楷体" w:cs="Times New Roman" w:hint="eastAsia"/>
                    </w:rPr>
                    <w:t>择时判断与沪深两市的基本面</w:t>
                  </w:r>
                  <w:r w:rsidR="00A14AB8" w:rsidRPr="00C64AE1">
                    <w:rPr>
                      <w:rFonts w:ascii="楷体" w:eastAsia="楷体" w:hAnsi="楷体" w:cs="Times New Roman" w:hint="eastAsia"/>
                    </w:rPr>
                    <w:t>、情绪面与资金面的</w:t>
                  </w:r>
                  <w:r w:rsidR="00A978C5" w:rsidRPr="00C64AE1">
                    <w:rPr>
                      <w:rFonts w:ascii="楷体" w:eastAsia="楷体" w:hAnsi="楷体" w:cs="Times New Roman" w:hint="eastAsia"/>
                    </w:rPr>
                    <w:t>判断基本相符</w:t>
                  </w:r>
                  <w:r w:rsidR="00715799" w:rsidRPr="00C64AE1">
                    <w:rPr>
                      <w:rFonts w:ascii="楷体" w:eastAsia="楷体" w:hAnsi="楷体" w:cs="Times New Roman" w:hint="eastAsia"/>
                    </w:rPr>
                    <w:t>。</w:t>
                  </w:r>
                </w:p>
                <w:p w:rsidR="00A14AB8" w:rsidRPr="00C64AE1" w:rsidRDefault="00D719DB" w:rsidP="00446770">
                  <w:pPr>
                    <w:numPr>
                      <w:ilvl w:val="0"/>
                      <w:numId w:val="1"/>
                    </w:numPr>
                    <w:spacing w:beforeLines="50" w:line="312" w:lineRule="auto"/>
                    <w:ind w:left="211" w:hangingChars="100" w:hanging="211"/>
                    <w:rPr>
                      <w:rFonts w:ascii="楷体" w:eastAsia="楷体" w:hAnsi="楷体" w:cs="Times New Roman"/>
                      <w:b/>
                    </w:rPr>
                  </w:pPr>
                  <w:r w:rsidRPr="00C64AE1">
                    <w:rPr>
                      <w:rFonts w:ascii="楷体" w:eastAsia="楷体" w:hAnsi="楷体" w:cs="Times New Roman" w:hint="eastAsia"/>
                      <w:b/>
                    </w:rPr>
                    <w:t>与2018年下跌行情</w:t>
                  </w:r>
                  <w:r w:rsidR="00A14AB8" w:rsidRPr="00C64AE1">
                    <w:rPr>
                      <w:rFonts w:ascii="楷体" w:eastAsia="楷体" w:hAnsi="楷体" w:cs="Times New Roman" w:hint="eastAsia"/>
                      <w:b/>
                    </w:rPr>
                    <w:t>相似</w:t>
                  </w:r>
                  <w:r w:rsidRPr="00C64AE1">
                    <w:rPr>
                      <w:rFonts w:ascii="楷体" w:eastAsia="楷体" w:hAnsi="楷体" w:cs="Times New Roman" w:hint="eastAsia"/>
                      <w:b/>
                    </w:rPr>
                    <w:t>的</w:t>
                  </w:r>
                  <w:r w:rsidR="00A14AB8" w:rsidRPr="00C64AE1">
                    <w:rPr>
                      <w:rFonts w:ascii="楷体" w:eastAsia="楷体" w:hAnsi="楷体" w:cs="Times New Roman" w:hint="eastAsia"/>
                      <w:b/>
                    </w:rPr>
                    <w:t>片段1-3在未来1-3、1-6个月内</w:t>
                  </w:r>
                  <w:r w:rsidR="003544BA" w:rsidRPr="00C64AE1">
                    <w:rPr>
                      <w:rFonts w:ascii="楷体" w:eastAsia="楷体" w:hAnsi="楷体" w:cs="Times New Roman" w:hint="eastAsia"/>
                      <w:b/>
                    </w:rPr>
                    <w:t>约</w:t>
                  </w:r>
                  <w:r w:rsidRPr="00C64AE1">
                    <w:rPr>
                      <w:rFonts w:ascii="楷体" w:eastAsia="楷体" w:hAnsi="楷体" w:cs="Times New Roman" w:hint="eastAsia"/>
                      <w:b/>
                    </w:rPr>
                    <w:t>有</w:t>
                  </w:r>
                  <w:r w:rsidR="00A14AB8" w:rsidRPr="00C64AE1">
                    <w:rPr>
                      <w:rFonts w:ascii="楷体" w:eastAsia="楷体" w:hAnsi="楷体" w:cs="Times New Roman" w:hint="eastAsia"/>
                      <w:b/>
                    </w:rPr>
                    <w:t>±7%与±18%的区间浮动</w:t>
                  </w:r>
                  <w:r w:rsidR="004B223B" w:rsidRPr="00C64AE1">
                    <w:rPr>
                      <w:rFonts w:ascii="楷体" w:eastAsia="楷体" w:hAnsi="楷体" w:cs="Times New Roman" w:hint="eastAsia"/>
                      <w:b/>
                    </w:rPr>
                    <w:t>。</w:t>
                  </w:r>
                  <w:r w:rsidR="00A14AB8" w:rsidRPr="00C64AE1">
                    <w:rPr>
                      <w:rFonts w:ascii="楷体" w:eastAsia="楷体" w:hAnsi="楷体" w:cs="Times New Roman" w:hint="eastAsia"/>
                    </w:rPr>
                    <w:t>若按</w:t>
                  </w:r>
                  <w:r w:rsidR="004B223B" w:rsidRPr="00C64AE1">
                    <w:rPr>
                      <w:rFonts w:ascii="楷体" w:eastAsia="楷体" w:hAnsi="楷体" w:cs="Times New Roman" w:hint="eastAsia"/>
                    </w:rPr>
                    <w:t>上证综指</w:t>
                  </w:r>
                  <w:r w:rsidR="00A14AB8" w:rsidRPr="00C64AE1">
                    <w:rPr>
                      <w:rFonts w:ascii="楷体" w:eastAsia="楷体" w:hAnsi="楷体" w:cs="Times New Roman" w:hint="eastAsia"/>
                    </w:rPr>
                    <w:t>2600点的点位算，</w:t>
                  </w:r>
                  <w:r w:rsidRPr="00C64AE1">
                    <w:rPr>
                      <w:rFonts w:ascii="楷体" w:eastAsia="楷体" w:hAnsi="楷体" w:cs="Times New Roman" w:hint="eastAsia"/>
                    </w:rPr>
                    <w:t>预期未来1-3个月内</w:t>
                  </w:r>
                  <w:r w:rsidR="00A14AB8" w:rsidRPr="00C64AE1">
                    <w:rPr>
                      <w:rFonts w:ascii="楷体" w:eastAsia="楷体" w:hAnsi="楷体" w:cs="Times New Roman" w:hint="eastAsia"/>
                    </w:rPr>
                    <w:t>±7%的区间涨跌幅对应上证综指的浮动区间[2400，2800]，</w:t>
                  </w:r>
                  <w:r w:rsidRPr="00C64AE1">
                    <w:rPr>
                      <w:rFonts w:ascii="楷体" w:eastAsia="楷体" w:hAnsi="楷体" w:cs="Times New Roman" w:hint="eastAsia"/>
                    </w:rPr>
                    <w:t>未来1-6个月内</w:t>
                  </w:r>
                  <w:r w:rsidR="00A14AB8" w:rsidRPr="00C64AE1">
                    <w:rPr>
                      <w:rFonts w:ascii="楷体" w:eastAsia="楷体" w:hAnsi="楷体" w:cs="Times New Roman" w:hint="eastAsia"/>
                    </w:rPr>
                    <w:t>±18%的区间涨跌幅对应上证综指的浮动区间[2100，3100]。</w:t>
                  </w:r>
                </w:p>
                <w:p w:rsidR="00A978C5" w:rsidRPr="00C64AE1" w:rsidRDefault="00A25484" w:rsidP="00446770">
                  <w:pPr>
                    <w:numPr>
                      <w:ilvl w:val="0"/>
                      <w:numId w:val="1"/>
                    </w:numPr>
                    <w:spacing w:beforeLines="50" w:line="312" w:lineRule="auto"/>
                    <w:ind w:left="211" w:hangingChars="100" w:hanging="211"/>
                    <w:rPr>
                      <w:rFonts w:ascii="楷体" w:eastAsia="楷体" w:hAnsi="楷体" w:cs="Times New Roman"/>
                      <w:b/>
                    </w:rPr>
                  </w:pPr>
                  <w:r w:rsidRPr="00C64AE1">
                    <w:rPr>
                      <w:rFonts w:ascii="楷体" w:eastAsia="楷体" w:hAnsi="楷体" w:cs="Times New Roman" w:hint="eastAsia"/>
                      <w:b/>
                    </w:rPr>
                    <w:t>小市值类、高成长类与</w:t>
                  </w:r>
                  <w:r w:rsidR="00C77F6A" w:rsidRPr="00C64AE1">
                    <w:rPr>
                      <w:rFonts w:ascii="楷体" w:eastAsia="楷体" w:hAnsi="楷体" w:cs="Times New Roman" w:hint="eastAsia"/>
                      <w:b/>
                    </w:rPr>
                    <w:t>反转类标的</w:t>
                  </w:r>
                  <w:r w:rsidR="00BC7FB4" w:rsidRPr="00C64AE1">
                    <w:rPr>
                      <w:rFonts w:ascii="楷体" w:eastAsia="楷体" w:hAnsi="楷体" w:cs="Times New Roman" w:hint="eastAsia"/>
                      <w:b/>
                    </w:rPr>
                    <w:t>或许是新机会。</w:t>
                  </w:r>
                  <w:r w:rsidR="007A29EA" w:rsidRPr="00C64AE1">
                    <w:rPr>
                      <w:rFonts w:ascii="楷体" w:eastAsia="楷体" w:hAnsi="楷体" w:cs="Times New Roman" w:hint="eastAsia"/>
                    </w:rPr>
                    <w:t>自2018年2月始，规模因子已获得超中证500收益达35%，预期规模因子好于市的业绩将会持续。在去杠杆向稳杠杆平稳过渡时期，价量类反转因子有望重拾升势；随着2018年年报逐步披露，财务类成长因子预期在</w:t>
                  </w:r>
                  <w:r w:rsidR="00A14AB8" w:rsidRPr="00C64AE1">
                    <w:rPr>
                      <w:rFonts w:ascii="楷体" w:eastAsia="楷体" w:hAnsi="楷体" w:cs="Times New Roman" w:hint="eastAsia"/>
                    </w:rPr>
                    <w:t>个股</w:t>
                  </w:r>
                  <w:r w:rsidR="007A29EA" w:rsidRPr="00C64AE1">
                    <w:rPr>
                      <w:rFonts w:ascii="楷体" w:eastAsia="楷体" w:hAnsi="楷体" w:cs="Times New Roman" w:hint="eastAsia"/>
                    </w:rPr>
                    <w:t>高业绩的驱动下，成长类因子会有阶段性表现。建议在均衡配置各类因子的时，可以适当向规模类、成长类与反转类因子倾斜。</w:t>
                  </w:r>
                </w:p>
                <w:p w:rsidR="00C85435" w:rsidRPr="00C64AE1" w:rsidRDefault="00C85435" w:rsidP="00C85435">
                  <w:pPr>
                    <w:ind w:left="422"/>
                    <w:rPr>
                      <w:rFonts w:ascii="楷体" w:eastAsia="楷体" w:hAnsi="楷体" w:cs="Times New Roman"/>
                    </w:rPr>
                  </w:pPr>
                </w:p>
                <w:p w:rsidR="00C85435" w:rsidRPr="00C64AE1" w:rsidRDefault="00C85435" w:rsidP="003C46D5">
                  <w:pPr>
                    <w:numPr>
                      <w:ilvl w:val="0"/>
                      <w:numId w:val="1"/>
                    </w:numPr>
                    <w:spacing w:line="312" w:lineRule="auto"/>
                    <w:ind w:left="211" w:hangingChars="100" w:hanging="211"/>
                    <w:rPr>
                      <w:rFonts w:ascii="楷体" w:eastAsia="楷体" w:hAnsi="楷体" w:cs="Times New Roman"/>
                    </w:rPr>
                  </w:pPr>
                  <w:r w:rsidRPr="00C64AE1">
                    <w:rPr>
                      <w:rFonts w:ascii="楷体" w:eastAsia="楷体" w:hAnsi="楷体" w:cs="Times New Roman" w:hint="eastAsia"/>
                      <w:b/>
                    </w:rPr>
                    <w:t>风险提示：</w:t>
                  </w:r>
                  <w:r w:rsidR="003C46D5" w:rsidRPr="00C64AE1">
                    <w:rPr>
                      <w:rFonts w:ascii="楷体" w:eastAsia="楷体" w:hAnsi="楷体" w:cs="Times New Roman" w:hint="eastAsia"/>
                    </w:rPr>
                    <w:t>市场不确定性与不可预测性风险，操作风险，模型预判失效风险，历史经验失效风险等。</w:t>
                  </w:r>
                </w:p>
              </w:tc>
            </w:tr>
          </w:tbl>
          <w:p w:rsidR="00715799" w:rsidRPr="00C64AE1" w:rsidRDefault="00715799" w:rsidP="00715799">
            <w:pPr>
              <w:rPr>
                <w:rFonts w:ascii="楷体" w:eastAsia="楷体" w:hAnsi="楷体" w:cs="Times New Roman"/>
                <w:b/>
                <w:szCs w:val="21"/>
              </w:rPr>
            </w:pPr>
          </w:p>
        </w:tc>
      </w:tr>
    </w:tbl>
    <w:p w:rsidR="00715799" w:rsidRPr="00C64AE1" w:rsidRDefault="00715799" w:rsidP="00715799">
      <w:pPr>
        <w:tabs>
          <w:tab w:val="left" w:pos="0"/>
        </w:tabs>
        <w:spacing w:line="100" w:lineRule="exact"/>
        <w:rPr>
          <w:rFonts w:ascii="楷体" w:eastAsia="楷体" w:hAnsi="楷体" w:cs="Times New Roman"/>
          <w:sz w:val="22"/>
          <w:szCs w:val="24"/>
        </w:rPr>
      </w:pPr>
    </w:p>
    <w:sdt>
      <w:sdtPr>
        <w:rPr>
          <w:rFonts w:ascii="楷体" w:eastAsia="楷体" w:hAnsi="楷体" w:cs="Times New Roman"/>
          <w:szCs w:val="24"/>
          <w:lang w:val="zh-CN"/>
        </w:rPr>
        <w:id w:val="7131014"/>
        <w:docPartObj>
          <w:docPartGallery w:val="Table of Contents"/>
          <w:docPartUnique/>
        </w:docPartObj>
      </w:sdtPr>
      <w:sdtEndPr>
        <w:rPr>
          <w:lang w:val="en-US"/>
        </w:rPr>
      </w:sdtEndPr>
      <w:sdtContent>
        <w:p w:rsidR="00715799" w:rsidRPr="00C64AE1" w:rsidRDefault="00715799" w:rsidP="00715799">
          <w:pPr>
            <w:keepNext/>
            <w:keepLines/>
            <w:widowControl/>
            <w:tabs>
              <w:tab w:val="center" w:pos="5386"/>
              <w:tab w:val="right" w:pos="10773"/>
            </w:tabs>
            <w:spacing w:before="480" w:line="276" w:lineRule="auto"/>
            <w:jc w:val="left"/>
            <w:rPr>
              <w:rFonts w:ascii="楷体" w:eastAsia="楷体" w:hAnsi="楷体" w:cstheme="majorBidi"/>
              <w:b/>
              <w:bCs/>
              <w:kern w:val="0"/>
              <w:sz w:val="28"/>
              <w:szCs w:val="28"/>
            </w:rPr>
          </w:pPr>
          <w:r w:rsidRPr="00C64AE1">
            <w:rPr>
              <w:rFonts w:ascii="楷体" w:eastAsia="楷体" w:hAnsi="楷体" w:cs="Times New Roman"/>
              <w:szCs w:val="24"/>
              <w:lang w:val="zh-CN"/>
            </w:rPr>
            <w:tab/>
          </w:r>
          <w:r w:rsidRPr="00C64AE1">
            <w:rPr>
              <w:rFonts w:ascii="楷体" w:eastAsia="楷体" w:hAnsi="楷体" w:cstheme="majorBidi" w:hint="eastAsia"/>
              <w:b/>
              <w:bCs/>
              <w:kern w:val="0"/>
              <w:sz w:val="28"/>
              <w:szCs w:val="28"/>
              <w:lang w:val="zh-CN"/>
            </w:rPr>
            <w:t>正文</w:t>
          </w:r>
          <w:r w:rsidRPr="00C64AE1">
            <w:rPr>
              <w:rFonts w:ascii="楷体" w:eastAsia="楷体" w:hAnsi="楷体" w:cstheme="majorBidi"/>
              <w:b/>
              <w:bCs/>
              <w:kern w:val="0"/>
              <w:sz w:val="28"/>
              <w:szCs w:val="28"/>
              <w:lang w:val="zh-CN"/>
            </w:rPr>
            <w:t>目录</w:t>
          </w:r>
          <w:r w:rsidRPr="00C64AE1">
            <w:rPr>
              <w:rFonts w:ascii="楷体" w:eastAsia="楷体" w:hAnsi="楷体" w:cstheme="majorBidi"/>
              <w:b/>
              <w:bCs/>
              <w:kern w:val="0"/>
              <w:sz w:val="28"/>
              <w:szCs w:val="28"/>
              <w:lang w:val="zh-CN"/>
            </w:rPr>
            <w:tab/>
          </w:r>
        </w:p>
        <w:p w:rsidR="005B7C69" w:rsidRPr="00C64AE1" w:rsidRDefault="00423A17">
          <w:pPr>
            <w:pStyle w:val="1"/>
            <w:tabs>
              <w:tab w:val="right" w:leader="dot" w:pos="10763"/>
            </w:tabs>
            <w:rPr>
              <w:noProof/>
            </w:rPr>
          </w:pPr>
          <w:r w:rsidRPr="00423A17">
            <w:rPr>
              <w:rFonts w:ascii="楷体" w:eastAsia="楷体" w:hAnsi="楷体" w:cs="Times New Roman"/>
              <w:b/>
              <w:sz w:val="24"/>
            </w:rPr>
            <w:fldChar w:fldCharType="begin"/>
          </w:r>
          <w:r w:rsidR="00715799" w:rsidRPr="00C64AE1">
            <w:rPr>
              <w:rFonts w:ascii="楷体" w:eastAsia="楷体" w:hAnsi="楷体" w:cs="Times New Roman"/>
              <w:b/>
              <w:sz w:val="24"/>
            </w:rPr>
            <w:instrText xml:space="preserve"> TOC \o "1-3" \h \z \u </w:instrText>
          </w:r>
          <w:r w:rsidRPr="00423A17">
            <w:rPr>
              <w:rFonts w:ascii="楷体" w:eastAsia="楷体" w:hAnsi="楷体" w:cs="Times New Roman"/>
              <w:b/>
              <w:sz w:val="24"/>
            </w:rPr>
            <w:fldChar w:fldCharType="separate"/>
          </w:r>
          <w:hyperlink w:anchor="_Toc531856897" w:history="1">
            <w:r w:rsidR="005B7C69" w:rsidRPr="00C64AE1">
              <w:rPr>
                <w:rStyle w:val="af"/>
                <w:rFonts w:ascii="楷体" w:eastAsia="楷体" w:hAnsi="楷体" w:cs="Times New Roman"/>
                <w:b/>
                <w:noProof/>
                <w:color w:val="auto"/>
              </w:rPr>
              <w:t>1</w:t>
            </w:r>
            <w:r w:rsidR="005B7C69" w:rsidRPr="00C64AE1">
              <w:rPr>
                <w:rStyle w:val="af"/>
                <w:rFonts w:ascii="楷体" w:eastAsia="楷体" w:hAnsi="楷体" w:cs="Times New Roman" w:hint="eastAsia"/>
                <w:b/>
                <w:noProof/>
                <w:color w:val="auto"/>
              </w:rPr>
              <w:t>、市场回顾与规律剖析</w:t>
            </w:r>
            <w:r w:rsidR="005B7C69" w:rsidRPr="00C64AE1">
              <w:rPr>
                <w:noProof/>
                <w:webHidden/>
              </w:rPr>
              <w:tab/>
            </w:r>
            <w:r w:rsidRPr="00C64AE1">
              <w:rPr>
                <w:noProof/>
                <w:webHidden/>
              </w:rPr>
              <w:fldChar w:fldCharType="begin"/>
            </w:r>
            <w:r w:rsidR="005B7C69" w:rsidRPr="00C64AE1">
              <w:rPr>
                <w:noProof/>
                <w:webHidden/>
              </w:rPr>
              <w:instrText xml:space="preserve"> PAGEREF _Toc531856897 \h </w:instrText>
            </w:r>
            <w:r w:rsidRPr="00C64AE1">
              <w:rPr>
                <w:noProof/>
                <w:webHidden/>
              </w:rPr>
            </w:r>
            <w:r w:rsidRPr="00C64AE1">
              <w:rPr>
                <w:noProof/>
                <w:webHidden/>
              </w:rPr>
              <w:fldChar w:fldCharType="separate"/>
            </w:r>
            <w:r w:rsidR="005456AC" w:rsidRPr="00C64AE1">
              <w:rPr>
                <w:noProof/>
                <w:webHidden/>
              </w:rPr>
              <w:t>4</w:t>
            </w:r>
            <w:r w:rsidRPr="00C64AE1">
              <w:rPr>
                <w:noProof/>
                <w:webHidden/>
              </w:rPr>
              <w:fldChar w:fldCharType="end"/>
            </w:r>
          </w:hyperlink>
        </w:p>
        <w:p w:rsidR="005B7C69" w:rsidRPr="00C64AE1" w:rsidRDefault="00423A17">
          <w:pPr>
            <w:pStyle w:val="2"/>
            <w:rPr>
              <w:noProof/>
            </w:rPr>
          </w:pPr>
          <w:hyperlink w:anchor="_Toc531856898" w:history="1">
            <w:r w:rsidR="005B7C69" w:rsidRPr="00C64AE1">
              <w:rPr>
                <w:rStyle w:val="af"/>
                <w:rFonts w:ascii="楷体" w:eastAsia="楷体" w:hAnsi="楷体" w:cs="Times New Roman"/>
                <w:b/>
                <w:noProof/>
                <w:color w:val="auto"/>
              </w:rPr>
              <w:t xml:space="preserve">1.1 </w:t>
            </w:r>
            <w:r w:rsidR="005B7C69" w:rsidRPr="00C64AE1">
              <w:rPr>
                <w:rStyle w:val="af"/>
                <w:rFonts w:ascii="楷体" w:eastAsia="楷体" w:hAnsi="楷体" w:cs="Times New Roman" w:hint="eastAsia"/>
                <w:b/>
                <w:noProof/>
                <w:color w:val="auto"/>
              </w:rPr>
              <w:t>沪深指数趋势性震荡下行，跌幅超</w:t>
            </w:r>
            <w:r w:rsidR="005B7C69" w:rsidRPr="00C64AE1">
              <w:rPr>
                <w:rStyle w:val="af"/>
                <w:rFonts w:ascii="楷体" w:eastAsia="楷体" w:hAnsi="楷体" w:cs="Times New Roman"/>
                <w:b/>
                <w:noProof/>
                <w:color w:val="auto"/>
              </w:rPr>
              <w:t>20%</w:t>
            </w:r>
            <w:r w:rsidR="005B7C69" w:rsidRPr="00C64AE1">
              <w:rPr>
                <w:noProof/>
                <w:webHidden/>
              </w:rPr>
              <w:tab/>
            </w:r>
            <w:r w:rsidRPr="00C64AE1">
              <w:rPr>
                <w:noProof/>
                <w:webHidden/>
              </w:rPr>
              <w:fldChar w:fldCharType="begin"/>
            </w:r>
            <w:r w:rsidR="005B7C69" w:rsidRPr="00C64AE1">
              <w:rPr>
                <w:noProof/>
                <w:webHidden/>
              </w:rPr>
              <w:instrText xml:space="preserve"> PAGEREF _Toc531856898 \h </w:instrText>
            </w:r>
            <w:r w:rsidRPr="00C64AE1">
              <w:rPr>
                <w:noProof/>
                <w:webHidden/>
              </w:rPr>
            </w:r>
            <w:r w:rsidRPr="00C64AE1">
              <w:rPr>
                <w:noProof/>
                <w:webHidden/>
              </w:rPr>
              <w:fldChar w:fldCharType="separate"/>
            </w:r>
            <w:r w:rsidR="005456AC" w:rsidRPr="00C64AE1">
              <w:rPr>
                <w:noProof/>
                <w:webHidden/>
              </w:rPr>
              <w:t>4</w:t>
            </w:r>
            <w:r w:rsidRPr="00C64AE1">
              <w:rPr>
                <w:noProof/>
                <w:webHidden/>
              </w:rPr>
              <w:fldChar w:fldCharType="end"/>
            </w:r>
          </w:hyperlink>
        </w:p>
        <w:p w:rsidR="005B7C69" w:rsidRPr="00C64AE1" w:rsidRDefault="00423A17">
          <w:pPr>
            <w:pStyle w:val="2"/>
            <w:rPr>
              <w:noProof/>
            </w:rPr>
          </w:pPr>
          <w:hyperlink w:anchor="_Toc531856899" w:history="1">
            <w:r w:rsidR="005B7C69" w:rsidRPr="00C64AE1">
              <w:rPr>
                <w:rStyle w:val="af"/>
                <w:rFonts w:ascii="楷体" w:eastAsia="楷体" w:hAnsi="楷体" w:cs="Times New Roman"/>
                <w:b/>
                <w:noProof/>
                <w:color w:val="auto"/>
              </w:rPr>
              <w:t xml:space="preserve">1.2 </w:t>
            </w:r>
            <w:r w:rsidR="005B7C69" w:rsidRPr="00C64AE1">
              <w:rPr>
                <w:rStyle w:val="af"/>
                <w:rFonts w:ascii="楷体" w:eastAsia="楷体" w:hAnsi="楷体" w:cs="Times New Roman" w:hint="eastAsia"/>
                <w:b/>
                <w:noProof/>
                <w:color w:val="auto"/>
              </w:rPr>
              <w:t>成交量下行趋势弱化，底部震荡格局初现</w:t>
            </w:r>
            <w:r w:rsidR="005B7C69" w:rsidRPr="00C64AE1">
              <w:rPr>
                <w:noProof/>
                <w:webHidden/>
              </w:rPr>
              <w:tab/>
            </w:r>
            <w:r w:rsidRPr="00C64AE1">
              <w:rPr>
                <w:noProof/>
                <w:webHidden/>
              </w:rPr>
              <w:fldChar w:fldCharType="begin"/>
            </w:r>
            <w:r w:rsidR="005B7C69" w:rsidRPr="00C64AE1">
              <w:rPr>
                <w:noProof/>
                <w:webHidden/>
              </w:rPr>
              <w:instrText xml:space="preserve"> PAGEREF _Toc531856899 \h </w:instrText>
            </w:r>
            <w:r w:rsidRPr="00C64AE1">
              <w:rPr>
                <w:noProof/>
                <w:webHidden/>
              </w:rPr>
            </w:r>
            <w:r w:rsidRPr="00C64AE1">
              <w:rPr>
                <w:noProof/>
                <w:webHidden/>
              </w:rPr>
              <w:fldChar w:fldCharType="separate"/>
            </w:r>
            <w:r w:rsidR="005456AC" w:rsidRPr="00C64AE1">
              <w:rPr>
                <w:noProof/>
                <w:webHidden/>
              </w:rPr>
              <w:t>6</w:t>
            </w:r>
            <w:r w:rsidRPr="00C64AE1">
              <w:rPr>
                <w:noProof/>
                <w:webHidden/>
              </w:rPr>
              <w:fldChar w:fldCharType="end"/>
            </w:r>
          </w:hyperlink>
        </w:p>
        <w:p w:rsidR="005B7C69" w:rsidRPr="00C64AE1" w:rsidRDefault="00423A17">
          <w:pPr>
            <w:pStyle w:val="2"/>
            <w:rPr>
              <w:noProof/>
            </w:rPr>
          </w:pPr>
          <w:hyperlink w:anchor="_Toc531856900" w:history="1">
            <w:r w:rsidR="005B7C69" w:rsidRPr="00C64AE1">
              <w:rPr>
                <w:rStyle w:val="af"/>
                <w:rFonts w:ascii="楷体" w:eastAsia="楷体" w:hAnsi="楷体" w:cs="Times New Roman"/>
                <w:b/>
                <w:noProof/>
                <w:color w:val="auto"/>
              </w:rPr>
              <w:t xml:space="preserve">1.3 </w:t>
            </w:r>
            <w:r w:rsidR="005B7C69" w:rsidRPr="00C64AE1">
              <w:rPr>
                <w:rStyle w:val="af"/>
                <w:rFonts w:ascii="楷体" w:eastAsia="楷体" w:hAnsi="楷体" w:cs="Times New Roman" w:hint="eastAsia"/>
                <w:b/>
                <w:noProof/>
                <w:color w:val="auto"/>
              </w:rPr>
              <w:t>主力资金流持续净流出，北向增量资金稳中有降</w:t>
            </w:r>
            <w:r w:rsidR="005B7C69" w:rsidRPr="00C64AE1">
              <w:rPr>
                <w:noProof/>
                <w:webHidden/>
              </w:rPr>
              <w:tab/>
            </w:r>
            <w:r w:rsidRPr="00C64AE1">
              <w:rPr>
                <w:noProof/>
                <w:webHidden/>
              </w:rPr>
              <w:fldChar w:fldCharType="begin"/>
            </w:r>
            <w:r w:rsidR="005B7C69" w:rsidRPr="00C64AE1">
              <w:rPr>
                <w:noProof/>
                <w:webHidden/>
              </w:rPr>
              <w:instrText xml:space="preserve"> PAGEREF _Toc531856900 \h </w:instrText>
            </w:r>
            <w:r w:rsidRPr="00C64AE1">
              <w:rPr>
                <w:noProof/>
                <w:webHidden/>
              </w:rPr>
            </w:r>
            <w:r w:rsidRPr="00C64AE1">
              <w:rPr>
                <w:noProof/>
                <w:webHidden/>
              </w:rPr>
              <w:fldChar w:fldCharType="separate"/>
            </w:r>
            <w:r w:rsidR="005456AC" w:rsidRPr="00C64AE1">
              <w:rPr>
                <w:noProof/>
                <w:webHidden/>
              </w:rPr>
              <w:t>7</w:t>
            </w:r>
            <w:r w:rsidRPr="00C64AE1">
              <w:rPr>
                <w:noProof/>
                <w:webHidden/>
              </w:rPr>
              <w:fldChar w:fldCharType="end"/>
            </w:r>
          </w:hyperlink>
        </w:p>
        <w:p w:rsidR="005B7C69" w:rsidRPr="00C64AE1" w:rsidRDefault="00423A17">
          <w:pPr>
            <w:pStyle w:val="3"/>
            <w:tabs>
              <w:tab w:val="right" w:leader="dot" w:pos="10763"/>
            </w:tabs>
            <w:rPr>
              <w:noProof/>
            </w:rPr>
          </w:pPr>
          <w:hyperlink w:anchor="_Toc531856901" w:history="1">
            <w:r w:rsidR="005B7C69" w:rsidRPr="00C64AE1">
              <w:rPr>
                <w:rStyle w:val="af"/>
                <w:rFonts w:ascii="楷体" w:eastAsia="楷体" w:hAnsi="楷体" w:cs="Times New Roman"/>
                <w:b/>
                <w:noProof/>
                <w:color w:val="auto"/>
              </w:rPr>
              <w:t xml:space="preserve">1.3.1  </w:t>
            </w:r>
            <w:r w:rsidR="005B7C69" w:rsidRPr="00C64AE1">
              <w:rPr>
                <w:rStyle w:val="af"/>
                <w:rFonts w:ascii="楷体" w:eastAsia="楷体" w:hAnsi="楷体" w:cs="Times New Roman" w:hint="eastAsia"/>
                <w:b/>
                <w:noProof/>
                <w:color w:val="auto"/>
              </w:rPr>
              <w:t>主力资金持续净流出，后市反弹动能弱势</w:t>
            </w:r>
            <w:r w:rsidR="005B7C69" w:rsidRPr="00C64AE1">
              <w:rPr>
                <w:noProof/>
                <w:webHidden/>
              </w:rPr>
              <w:tab/>
            </w:r>
            <w:r w:rsidRPr="00C64AE1">
              <w:rPr>
                <w:noProof/>
                <w:webHidden/>
              </w:rPr>
              <w:fldChar w:fldCharType="begin"/>
            </w:r>
            <w:r w:rsidR="005B7C69" w:rsidRPr="00C64AE1">
              <w:rPr>
                <w:noProof/>
                <w:webHidden/>
              </w:rPr>
              <w:instrText xml:space="preserve"> PAGEREF _Toc531856901 \h </w:instrText>
            </w:r>
            <w:r w:rsidRPr="00C64AE1">
              <w:rPr>
                <w:noProof/>
                <w:webHidden/>
              </w:rPr>
            </w:r>
            <w:r w:rsidRPr="00C64AE1">
              <w:rPr>
                <w:noProof/>
                <w:webHidden/>
              </w:rPr>
              <w:fldChar w:fldCharType="separate"/>
            </w:r>
            <w:r w:rsidR="005456AC" w:rsidRPr="00C64AE1">
              <w:rPr>
                <w:noProof/>
                <w:webHidden/>
              </w:rPr>
              <w:t>7</w:t>
            </w:r>
            <w:r w:rsidRPr="00C64AE1">
              <w:rPr>
                <w:noProof/>
                <w:webHidden/>
              </w:rPr>
              <w:fldChar w:fldCharType="end"/>
            </w:r>
          </w:hyperlink>
        </w:p>
        <w:p w:rsidR="005B7C69" w:rsidRPr="00C64AE1" w:rsidRDefault="00423A17">
          <w:pPr>
            <w:pStyle w:val="3"/>
            <w:tabs>
              <w:tab w:val="right" w:leader="dot" w:pos="10763"/>
            </w:tabs>
            <w:rPr>
              <w:noProof/>
            </w:rPr>
          </w:pPr>
          <w:hyperlink w:anchor="_Toc531856902" w:history="1">
            <w:r w:rsidR="005B7C69" w:rsidRPr="00C64AE1">
              <w:rPr>
                <w:rStyle w:val="af"/>
                <w:rFonts w:ascii="楷体" w:eastAsia="楷体" w:hAnsi="楷体" w:cs="Times New Roman"/>
                <w:b/>
                <w:noProof/>
                <w:color w:val="auto"/>
              </w:rPr>
              <w:t xml:space="preserve">1.3.2  </w:t>
            </w:r>
            <w:r w:rsidR="005B7C69" w:rsidRPr="00C64AE1">
              <w:rPr>
                <w:rStyle w:val="af"/>
                <w:rFonts w:ascii="楷体" w:eastAsia="楷体" w:hAnsi="楷体" w:cs="Times New Roman" w:hint="eastAsia"/>
                <w:b/>
                <w:noProof/>
                <w:color w:val="auto"/>
              </w:rPr>
              <w:t>北上资金增量增速放缓，配比相对偏低</w:t>
            </w:r>
            <w:r w:rsidR="005B7C69" w:rsidRPr="00C64AE1">
              <w:rPr>
                <w:noProof/>
                <w:webHidden/>
              </w:rPr>
              <w:tab/>
            </w:r>
            <w:r w:rsidRPr="00C64AE1">
              <w:rPr>
                <w:noProof/>
                <w:webHidden/>
              </w:rPr>
              <w:fldChar w:fldCharType="begin"/>
            </w:r>
            <w:r w:rsidR="005B7C69" w:rsidRPr="00C64AE1">
              <w:rPr>
                <w:noProof/>
                <w:webHidden/>
              </w:rPr>
              <w:instrText xml:space="preserve"> PAGEREF _Toc531856902 \h </w:instrText>
            </w:r>
            <w:r w:rsidRPr="00C64AE1">
              <w:rPr>
                <w:noProof/>
                <w:webHidden/>
              </w:rPr>
            </w:r>
            <w:r w:rsidRPr="00C64AE1">
              <w:rPr>
                <w:noProof/>
                <w:webHidden/>
              </w:rPr>
              <w:fldChar w:fldCharType="separate"/>
            </w:r>
            <w:r w:rsidR="005456AC" w:rsidRPr="00C64AE1">
              <w:rPr>
                <w:noProof/>
                <w:webHidden/>
              </w:rPr>
              <w:t>8</w:t>
            </w:r>
            <w:r w:rsidRPr="00C64AE1">
              <w:rPr>
                <w:noProof/>
                <w:webHidden/>
              </w:rPr>
              <w:fldChar w:fldCharType="end"/>
            </w:r>
          </w:hyperlink>
        </w:p>
        <w:p w:rsidR="005B7C69" w:rsidRPr="00C64AE1" w:rsidRDefault="00423A17">
          <w:pPr>
            <w:pStyle w:val="2"/>
            <w:rPr>
              <w:noProof/>
            </w:rPr>
          </w:pPr>
          <w:hyperlink w:anchor="_Toc531856903" w:history="1">
            <w:r w:rsidR="005B7C69" w:rsidRPr="00C64AE1">
              <w:rPr>
                <w:rStyle w:val="af"/>
                <w:rFonts w:ascii="楷体" w:eastAsia="楷体" w:hAnsi="楷体" w:cs="Times New Roman"/>
                <w:b/>
                <w:noProof/>
                <w:color w:val="auto"/>
              </w:rPr>
              <w:t xml:space="preserve">1.4 </w:t>
            </w:r>
            <w:r w:rsidR="005B7C69" w:rsidRPr="00C64AE1">
              <w:rPr>
                <w:rStyle w:val="af"/>
                <w:rFonts w:ascii="楷体" w:eastAsia="楷体" w:hAnsi="楷体" w:cs="Times New Roman" w:hint="eastAsia"/>
                <w:b/>
                <w:noProof/>
                <w:color w:val="auto"/>
              </w:rPr>
              <w:t>市场悲观情绪上行，基金风格偏好小市值组合</w:t>
            </w:r>
            <w:r w:rsidR="005B7C69" w:rsidRPr="00C64AE1">
              <w:rPr>
                <w:noProof/>
                <w:webHidden/>
              </w:rPr>
              <w:tab/>
            </w:r>
            <w:r w:rsidRPr="00C64AE1">
              <w:rPr>
                <w:noProof/>
                <w:webHidden/>
              </w:rPr>
              <w:fldChar w:fldCharType="begin"/>
            </w:r>
            <w:r w:rsidR="005B7C69" w:rsidRPr="00C64AE1">
              <w:rPr>
                <w:noProof/>
                <w:webHidden/>
              </w:rPr>
              <w:instrText xml:space="preserve"> PAGEREF _Toc531856903 \h </w:instrText>
            </w:r>
            <w:r w:rsidRPr="00C64AE1">
              <w:rPr>
                <w:noProof/>
                <w:webHidden/>
              </w:rPr>
            </w:r>
            <w:r w:rsidRPr="00C64AE1">
              <w:rPr>
                <w:noProof/>
                <w:webHidden/>
              </w:rPr>
              <w:fldChar w:fldCharType="separate"/>
            </w:r>
            <w:r w:rsidR="005456AC" w:rsidRPr="00C64AE1">
              <w:rPr>
                <w:noProof/>
                <w:webHidden/>
              </w:rPr>
              <w:t>10</w:t>
            </w:r>
            <w:r w:rsidRPr="00C64AE1">
              <w:rPr>
                <w:noProof/>
                <w:webHidden/>
              </w:rPr>
              <w:fldChar w:fldCharType="end"/>
            </w:r>
          </w:hyperlink>
        </w:p>
        <w:p w:rsidR="005B7C69" w:rsidRPr="00C64AE1" w:rsidRDefault="00423A17">
          <w:pPr>
            <w:pStyle w:val="2"/>
            <w:rPr>
              <w:noProof/>
            </w:rPr>
          </w:pPr>
          <w:hyperlink w:anchor="_Toc531856904" w:history="1">
            <w:r w:rsidR="005B7C69" w:rsidRPr="00C64AE1">
              <w:rPr>
                <w:rStyle w:val="af"/>
                <w:rFonts w:ascii="楷体" w:eastAsia="楷体" w:hAnsi="楷体" w:cs="Times New Roman"/>
                <w:b/>
                <w:noProof/>
                <w:color w:val="auto"/>
              </w:rPr>
              <w:t>1.5</w:t>
            </w:r>
            <w:r w:rsidR="005B7C69" w:rsidRPr="00C64AE1">
              <w:rPr>
                <w:rStyle w:val="af"/>
                <w:rFonts w:ascii="楷体" w:eastAsia="楷体" w:hAnsi="楷体" w:cs="Times New Roman" w:hint="eastAsia"/>
                <w:b/>
                <w:noProof/>
                <w:color w:val="auto"/>
              </w:rPr>
              <w:t>规模因子突出、盈利与流动性等因子表现良好</w:t>
            </w:r>
            <w:r w:rsidR="005B7C69" w:rsidRPr="00C64AE1">
              <w:rPr>
                <w:noProof/>
                <w:webHidden/>
              </w:rPr>
              <w:tab/>
            </w:r>
            <w:r w:rsidRPr="00C64AE1">
              <w:rPr>
                <w:noProof/>
                <w:webHidden/>
              </w:rPr>
              <w:fldChar w:fldCharType="begin"/>
            </w:r>
            <w:r w:rsidR="005B7C69" w:rsidRPr="00C64AE1">
              <w:rPr>
                <w:noProof/>
                <w:webHidden/>
              </w:rPr>
              <w:instrText xml:space="preserve"> PAGEREF _Toc531856904 \h </w:instrText>
            </w:r>
            <w:r w:rsidRPr="00C64AE1">
              <w:rPr>
                <w:noProof/>
                <w:webHidden/>
              </w:rPr>
            </w:r>
            <w:r w:rsidRPr="00C64AE1">
              <w:rPr>
                <w:noProof/>
                <w:webHidden/>
              </w:rPr>
              <w:fldChar w:fldCharType="separate"/>
            </w:r>
            <w:r w:rsidR="005456AC" w:rsidRPr="00C64AE1">
              <w:rPr>
                <w:noProof/>
                <w:webHidden/>
              </w:rPr>
              <w:t>10</w:t>
            </w:r>
            <w:r w:rsidRPr="00C64AE1">
              <w:rPr>
                <w:noProof/>
                <w:webHidden/>
              </w:rPr>
              <w:fldChar w:fldCharType="end"/>
            </w:r>
          </w:hyperlink>
        </w:p>
        <w:p w:rsidR="005B7C69" w:rsidRPr="00C64AE1" w:rsidRDefault="00423A17">
          <w:pPr>
            <w:pStyle w:val="2"/>
            <w:rPr>
              <w:noProof/>
            </w:rPr>
          </w:pPr>
          <w:hyperlink w:anchor="_Toc531856905" w:history="1">
            <w:r w:rsidR="005B7C69" w:rsidRPr="00C64AE1">
              <w:rPr>
                <w:rStyle w:val="af"/>
                <w:rFonts w:ascii="楷体" w:eastAsia="楷体" w:hAnsi="楷体" w:cs="Times New Roman"/>
                <w:b/>
                <w:noProof/>
                <w:color w:val="auto"/>
              </w:rPr>
              <w:t xml:space="preserve">1.6 </w:t>
            </w:r>
            <w:r w:rsidR="005B7C69" w:rsidRPr="00C64AE1">
              <w:rPr>
                <w:rStyle w:val="af"/>
                <w:rFonts w:ascii="楷体" w:eastAsia="楷体" w:hAnsi="楷体" w:cs="Times New Roman" w:hint="eastAsia"/>
                <w:b/>
                <w:noProof/>
                <w:color w:val="auto"/>
              </w:rPr>
              <w:t>产品研发与业绩分析</w:t>
            </w:r>
            <w:r w:rsidR="005B7C69" w:rsidRPr="00C64AE1">
              <w:rPr>
                <w:noProof/>
                <w:webHidden/>
              </w:rPr>
              <w:tab/>
            </w:r>
            <w:r w:rsidRPr="00C64AE1">
              <w:rPr>
                <w:noProof/>
                <w:webHidden/>
              </w:rPr>
              <w:fldChar w:fldCharType="begin"/>
            </w:r>
            <w:r w:rsidR="005B7C69" w:rsidRPr="00C64AE1">
              <w:rPr>
                <w:noProof/>
                <w:webHidden/>
              </w:rPr>
              <w:instrText xml:space="preserve"> PAGEREF _Toc531856905 \h </w:instrText>
            </w:r>
            <w:r w:rsidRPr="00C64AE1">
              <w:rPr>
                <w:noProof/>
                <w:webHidden/>
              </w:rPr>
            </w:r>
            <w:r w:rsidRPr="00C64AE1">
              <w:rPr>
                <w:noProof/>
                <w:webHidden/>
              </w:rPr>
              <w:fldChar w:fldCharType="separate"/>
            </w:r>
            <w:r w:rsidR="005456AC" w:rsidRPr="00C64AE1">
              <w:rPr>
                <w:noProof/>
                <w:webHidden/>
              </w:rPr>
              <w:t>11</w:t>
            </w:r>
            <w:r w:rsidRPr="00C64AE1">
              <w:rPr>
                <w:noProof/>
                <w:webHidden/>
              </w:rPr>
              <w:fldChar w:fldCharType="end"/>
            </w:r>
          </w:hyperlink>
        </w:p>
        <w:p w:rsidR="005B7C69" w:rsidRPr="00C64AE1" w:rsidRDefault="00423A17">
          <w:pPr>
            <w:pStyle w:val="3"/>
            <w:tabs>
              <w:tab w:val="right" w:leader="dot" w:pos="10763"/>
            </w:tabs>
            <w:rPr>
              <w:noProof/>
            </w:rPr>
          </w:pPr>
          <w:hyperlink w:anchor="_Toc531856906" w:history="1">
            <w:r w:rsidR="005B7C69" w:rsidRPr="00C64AE1">
              <w:rPr>
                <w:rStyle w:val="af"/>
                <w:rFonts w:ascii="楷体" w:eastAsia="楷体" w:hAnsi="楷体" w:cs="Times New Roman"/>
                <w:b/>
                <w:noProof/>
                <w:color w:val="auto"/>
              </w:rPr>
              <w:t xml:space="preserve">1.6.1 </w:t>
            </w:r>
            <w:r w:rsidR="005B7C69" w:rsidRPr="00C64AE1">
              <w:rPr>
                <w:rStyle w:val="af"/>
                <w:rFonts w:ascii="楷体" w:eastAsia="楷体" w:hAnsi="楷体" w:cs="Times New Roman" w:hint="eastAsia"/>
                <w:b/>
                <w:noProof/>
                <w:color w:val="auto"/>
              </w:rPr>
              <w:t>智能产品稳健运行，高收益、低风险特征明显</w:t>
            </w:r>
            <w:r w:rsidR="005B7C69" w:rsidRPr="00C64AE1">
              <w:rPr>
                <w:noProof/>
                <w:webHidden/>
              </w:rPr>
              <w:tab/>
            </w:r>
            <w:r w:rsidRPr="00C64AE1">
              <w:rPr>
                <w:noProof/>
                <w:webHidden/>
              </w:rPr>
              <w:fldChar w:fldCharType="begin"/>
            </w:r>
            <w:r w:rsidR="005B7C69" w:rsidRPr="00C64AE1">
              <w:rPr>
                <w:noProof/>
                <w:webHidden/>
              </w:rPr>
              <w:instrText xml:space="preserve"> PAGEREF _Toc531856906 \h </w:instrText>
            </w:r>
            <w:r w:rsidRPr="00C64AE1">
              <w:rPr>
                <w:noProof/>
                <w:webHidden/>
              </w:rPr>
            </w:r>
            <w:r w:rsidRPr="00C64AE1">
              <w:rPr>
                <w:noProof/>
                <w:webHidden/>
              </w:rPr>
              <w:fldChar w:fldCharType="separate"/>
            </w:r>
            <w:r w:rsidR="005456AC" w:rsidRPr="00C64AE1">
              <w:rPr>
                <w:noProof/>
                <w:webHidden/>
              </w:rPr>
              <w:t>11</w:t>
            </w:r>
            <w:r w:rsidRPr="00C64AE1">
              <w:rPr>
                <w:noProof/>
                <w:webHidden/>
              </w:rPr>
              <w:fldChar w:fldCharType="end"/>
            </w:r>
          </w:hyperlink>
        </w:p>
        <w:p w:rsidR="005B7C69" w:rsidRPr="00C64AE1" w:rsidRDefault="00423A17">
          <w:pPr>
            <w:pStyle w:val="3"/>
            <w:tabs>
              <w:tab w:val="right" w:leader="dot" w:pos="10763"/>
            </w:tabs>
            <w:rPr>
              <w:noProof/>
            </w:rPr>
          </w:pPr>
          <w:hyperlink w:anchor="_Toc531856907" w:history="1">
            <w:r w:rsidR="005B7C69" w:rsidRPr="00C64AE1">
              <w:rPr>
                <w:rStyle w:val="af"/>
                <w:rFonts w:ascii="楷体" w:eastAsia="楷体" w:hAnsi="楷体" w:cs="Times New Roman"/>
                <w:b/>
                <w:noProof/>
                <w:color w:val="auto"/>
              </w:rPr>
              <w:t xml:space="preserve">1.6.2 </w:t>
            </w:r>
            <w:r w:rsidR="005B7C69" w:rsidRPr="00C64AE1">
              <w:rPr>
                <w:rStyle w:val="af"/>
                <w:rFonts w:ascii="楷体" w:eastAsia="楷体" w:hAnsi="楷体" w:cs="Times New Roman" w:hint="eastAsia"/>
                <w:b/>
                <w:noProof/>
                <w:color w:val="auto"/>
              </w:rPr>
              <w:t>择时模型对市场与行业判断基本符合预期</w:t>
            </w:r>
            <w:r w:rsidR="005B7C69" w:rsidRPr="00C64AE1">
              <w:rPr>
                <w:noProof/>
                <w:webHidden/>
              </w:rPr>
              <w:tab/>
            </w:r>
            <w:r w:rsidRPr="00C64AE1">
              <w:rPr>
                <w:noProof/>
                <w:webHidden/>
              </w:rPr>
              <w:fldChar w:fldCharType="begin"/>
            </w:r>
            <w:r w:rsidR="005B7C69" w:rsidRPr="00C64AE1">
              <w:rPr>
                <w:noProof/>
                <w:webHidden/>
              </w:rPr>
              <w:instrText xml:space="preserve"> PAGEREF _Toc531856907 \h </w:instrText>
            </w:r>
            <w:r w:rsidRPr="00C64AE1">
              <w:rPr>
                <w:noProof/>
                <w:webHidden/>
              </w:rPr>
            </w:r>
            <w:r w:rsidRPr="00C64AE1">
              <w:rPr>
                <w:noProof/>
                <w:webHidden/>
              </w:rPr>
              <w:fldChar w:fldCharType="separate"/>
            </w:r>
            <w:r w:rsidR="005456AC" w:rsidRPr="00C64AE1">
              <w:rPr>
                <w:noProof/>
                <w:webHidden/>
              </w:rPr>
              <w:t>12</w:t>
            </w:r>
            <w:r w:rsidRPr="00C64AE1">
              <w:rPr>
                <w:noProof/>
                <w:webHidden/>
              </w:rPr>
              <w:fldChar w:fldCharType="end"/>
            </w:r>
          </w:hyperlink>
        </w:p>
        <w:p w:rsidR="005B7C69" w:rsidRPr="00C64AE1" w:rsidRDefault="00423A17">
          <w:pPr>
            <w:pStyle w:val="3"/>
            <w:tabs>
              <w:tab w:val="right" w:leader="dot" w:pos="10763"/>
            </w:tabs>
            <w:rPr>
              <w:noProof/>
            </w:rPr>
          </w:pPr>
          <w:hyperlink w:anchor="_Toc531856908" w:history="1">
            <w:r w:rsidR="005B7C69" w:rsidRPr="00C64AE1">
              <w:rPr>
                <w:rStyle w:val="af"/>
                <w:rFonts w:ascii="楷体" w:eastAsia="楷体" w:hAnsi="楷体" w:cs="Times New Roman"/>
                <w:b/>
                <w:noProof/>
                <w:color w:val="auto"/>
              </w:rPr>
              <w:t xml:space="preserve">1.6.3  </w:t>
            </w:r>
            <w:r w:rsidR="005B7C69" w:rsidRPr="00C64AE1">
              <w:rPr>
                <w:rStyle w:val="af"/>
                <w:rFonts w:ascii="楷体" w:eastAsia="楷体" w:hAnsi="楷体" w:cs="Times New Roman" w:hint="eastAsia"/>
                <w:b/>
                <w:noProof/>
                <w:color w:val="auto"/>
              </w:rPr>
              <w:t>量化对冲与指数增强策略业绩强于市</w:t>
            </w:r>
            <w:r w:rsidR="005B7C69" w:rsidRPr="00C64AE1">
              <w:rPr>
                <w:noProof/>
                <w:webHidden/>
              </w:rPr>
              <w:tab/>
            </w:r>
            <w:r w:rsidRPr="00C64AE1">
              <w:rPr>
                <w:noProof/>
                <w:webHidden/>
              </w:rPr>
              <w:fldChar w:fldCharType="begin"/>
            </w:r>
            <w:r w:rsidR="005B7C69" w:rsidRPr="00C64AE1">
              <w:rPr>
                <w:noProof/>
                <w:webHidden/>
              </w:rPr>
              <w:instrText xml:space="preserve"> PAGEREF _Toc531856908 \h </w:instrText>
            </w:r>
            <w:r w:rsidRPr="00C64AE1">
              <w:rPr>
                <w:noProof/>
                <w:webHidden/>
              </w:rPr>
            </w:r>
            <w:r w:rsidRPr="00C64AE1">
              <w:rPr>
                <w:noProof/>
                <w:webHidden/>
              </w:rPr>
              <w:fldChar w:fldCharType="separate"/>
            </w:r>
            <w:r w:rsidR="005456AC" w:rsidRPr="00C64AE1">
              <w:rPr>
                <w:noProof/>
                <w:webHidden/>
              </w:rPr>
              <w:t>13</w:t>
            </w:r>
            <w:r w:rsidRPr="00C64AE1">
              <w:rPr>
                <w:noProof/>
                <w:webHidden/>
              </w:rPr>
              <w:fldChar w:fldCharType="end"/>
            </w:r>
          </w:hyperlink>
        </w:p>
        <w:p w:rsidR="005B7C69" w:rsidRPr="00C64AE1" w:rsidRDefault="00423A17">
          <w:pPr>
            <w:pStyle w:val="1"/>
            <w:tabs>
              <w:tab w:val="right" w:leader="dot" w:pos="10763"/>
            </w:tabs>
            <w:rPr>
              <w:noProof/>
            </w:rPr>
          </w:pPr>
          <w:hyperlink w:anchor="_Toc531856909" w:history="1">
            <w:r w:rsidR="005B7C69" w:rsidRPr="00C64AE1">
              <w:rPr>
                <w:rStyle w:val="af"/>
                <w:rFonts w:ascii="楷体" w:eastAsia="楷体" w:hAnsi="楷体" w:cs="Times New Roman"/>
                <w:b/>
                <w:noProof/>
                <w:color w:val="auto"/>
              </w:rPr>
              <w:t xml:space="preserve">2. </w:t>
            </w:r>
            <w:r w:rsidR="005B7C69" w:rsidRPr="00C64AE1">
              <w:rPr>
                <w:rStyle w:val="af"/>
                <w:rFonts w:ascii="楷体" w:eastAsia="楷体" w:hAnsi="楷体" w:cs="Times New Roman" w:hint="eastAsia"/>
                <w:b/>
                <w:noProof/>
                <w:color w:val="auto"/>
              </w:rPr>
              <w:t>经典回顾：历史经验、窥析未来</w:t>
            </w:r>
            <w:r w:rsidR="005B7C69" w:rsidRPr="00C64AE1">
              <w:rPr>
                <w:noProof/>
                <w:webHidden/>
              </w:rPr>
              <w:tab/>
            </w:r>
            <w:r w:rsidRPr="00C64AE1">
              <w:rPr>
                <w:noProof/>
                <w:webHidden/>
              </w:rPr>
              <w:fldChar w:fldCharType="begin"/>
            </w:r>
            <w:r w:rsidR="005B7C69" w:rsidRPr="00C64AE1">
              <w:rPr>
                <w:noProof/>
                <w:webHidden/>
              </w:rPr>
              <w:instrText xml:space="preserve"> PAGEREF _Toc531856909 \h </w:instrText>
            </w:r>
            <w:r w:rsidRPr="00C64AE1">
              <w:rPr>
                <w:noProof/>
                <w:webHidden/>
              </w:rPr>
            </w:r>
            <w:r w:rsidRPr="00C64AE1">
              <w:rPr>
                <w:noProof/>
                <w:webHidden/>
              </w:rPr>
              <w:fldChar w:fldCharType="separate"/>
            </w:r>
            <w:r w:rsidR="005456AC" w:rsidRPr="00C64AE1">
              <w:rPr>
                <w:noProof/>
                <w:webHidden/>
              </w:rPr>
              <w:t>13</w:t>
            </w:r>
            <w:r w:rsidRPr="00C64AE1">
              <w:rPr>
                <w:noProof/>
                <w:webHidden/>
              </w:rPr>
              <w:fldChar w:fldCharType="end"/>
            </w:r>
          </w:hyperlink>
        </w:p>
        <w:p w:rsidR="005B7C69" w:rsidRPr="00C64AE1" w:rsidRDefault="00423A17">
          <w:pPr>
            <w:pStyle w:val="2"/>
            <w:rPr>
              <w:noProof/>
            </w:rPr>
          </w:pPr>
          <w:hyperlink w:anchor="_Toc531856910" w:history="1">
            <w:r w:rsidR="005B7C69" w:rsidRPr="00C64AE1">
              <w:rPr>
                <w:rStyle w:val="af"/>
                <w:rFonts w:ascii="楷体" w:eastAsia="楷体" w:hAnsi="楷体" w:cs="Times New Roman"/>
                <w:b/>
                <w:noProof/>
                <w:color w:val="auto"/>
              </w:rPr>
              <w:t xml:space="preserve">2.1 </w:t>
            </w:r>
            <w:r w:rsidR="005B7C69" w:rsidRPr="00C64AE1">
              <w:rPr>
                <w:rStyle w:val="af"/>
                <w:rFonts w:ascii="楷体" w:eastAsia="楷体" w:hAnsi="楷体" w:cs="Times New Roman" w:hint="eastAsia"/>
                <w:b/>
                <w:noProof/>
                <w:color w:val="auto"/>
              </w:rPr>
              <w:t>历史下跌区间的相似性分析</w:t>
            </w:r>
            <w:r w:rsidR="005B7C69" w:rsidRPr="00C64AE1">
              <w:rPr>
                <w:noProof/>
                <w:webHidden/>
              </w:rPr>
              <w:tab/>
            </w:r>
            <w:r w:rsidRPr="00C64AE1">
              <w:rPr>
                <w:noProof/>
                <w:webHidden/>
              </w:rPr>
              <w:fldChar w:fldCharType="begin"/>
            </w:r>
            <w:r w:rsidR="005B7C69" w:rsidRPr="00C64AE1">
              <w:rPr>
                <w:noProof/>
                <w:webHidden/>
              </w:rPr>
              <w:instrText xml:space="preserve"> PAGEREF _Toc531856910 \h </w:instrText>
            </w:r>
            <w:r w:rsidRPr="00C64AE1">
              <w:rPr>
                <w:noProof/>
                <w:webHidden/>
              </w:rPr>
            </w:r>
            <w:r w:rsidRPr="00C64AE1">
              <w:rPr>
                <w:noProof/>
                <w:webHidden/>
              </w:rPr>
              <w:fldChar w:fldCharType="separate"/>
            </w:r>
            <w:r w:rsidR="005456AC" w:rsidRPr="00C64AE1">
              <w:rPr>
                <w:noProof/>
                <w:webHidden/>
              </w:rPr>
              <w:t>13</w:t>
            </w:r>
            <w:r w:rsidRPr="00C64AE1">
              <w:rPr>
                <w:noProof/>
                <w:webHidden/>
              </w:rPr>
              <w:fldChar w:fldCharType="end"/>
            </w:r>
          </w:hyperlink>
        </w:p>
        <w:p w:rsidR="005B7C69" w:rsidRPr="00C64AE1" w:rsidRDefault="00423A17">
          <w:pPr>
            <w:pStyle w:val="2"/>
            <w:rPr>
              <w:noProof/>
            </w:rPr>
          </w:pPr>
          <w:hyperlink w:anchor="_Toc531856911" w:history="1">
            <w:r w:rsidR="005B7C69" w:rsidRPr="00C64AE1">
              <w:rPr>
                <w:rStyle w:val="af"/>
                <w:rFonts w:ascii="楷体" w:eastAsia="楷体" w:hAnsi="楷体" w:cs="Times New Roman"/>
                <w:b/>
                <w:noProof/>
                <w:color w:val="auto"/>
              </w:rPr>
              <w:t xml:space="preserve">2.2 </w:t>
            </w:r>
            <w:r w:rsidR="00924278" w:rsidRPr="00C64AE1">
              <w:rPr>
                <w:rStyle w:val="af"/>
                <w:rFonts w:ascii="楷体" w:eastAsia="楷体" w:hAnsi="楷体" w:cs="Times New Roman" w:hint="eastAsia"/>
                <w:b/>
                <w:noProof/>
                <w:color w:val="auto"/>
              </w:rPr>
              <w:t>经典</w:t>
            </w:r>
            <w:r w:rsidR="005B7C69" w:rsidRPr="00C64AE1">
              <w:rPr>
                <w:rStyle w:val="af"/>
                <w:rFonts w:ascii="楷体" w:eastAsia="楷体" w:hAnsi="楷体" w:cs="Times New Roman" w:hint="eastAsia"/>
                <w:b/>
                <w:noProof/>
                <w:color w:val="auto"/>
              </w:rPr>
              <w:t>片段未来时间内的价量规律分析</w:t>
            </w:r>
            <w:r w:rsidR="005B7C69" w:rsidRPr="00C64AE1">
              <w:rPr>
                <w:noProof/>
                <w:webHidden/>
              </w:rPr>
              <w:tab/>
            </w:r>
            <w:r w:rsidRPr="00C64AE1">
              <w:rPr>
                <w:noProof/>
                <w:webHidden/>
              </w:rPr>
              <w:fldChar w:fldCharType="begin"/>
            </w:r>
            <w:r w:rsidR="005B7C69" w:rsidRPr="00C64AE1">
              <w:rPr>
                <w:noProof/>
                <w:webHidden/>
              </w:rPr>
              <w:instrText xml:space="preserve"> PAGEREF _Toc531856911 \h </w:instrText>
            </w:r>
            <w:r w:rsidRPr="00C64AE1">
              <w:rPr>
                <w:noProof/>
                <w:webHidden/>
              </w:rPr>
            </w:r>
            <w:r w:rsidRPr="00C64AE1">
              <w:rPr>
                <w:noProof/>
                <w:webHidden/>
              </w:rPr>
              <w:fldChar w:fldCharType="separate"/>
            </w:r>
            <w:r w:rsidR="005456AC" w:rsidRPr="00C64AE1">
              <w:rPr>
                <w:noProof/>
                <w:webHidden/>
              </w:rPr>
              <w:t>15</w:t>
            </w:r>
            <w:r w:rsidRPr="00C64AE1">
              <w:rPr>
                <w:noProof/>
                <w:webHidden/>
              </w:rPr>
              <w:fldChar w:fldCharType="end"/>
            </w:r>
          </w:hyperlink>
        </w:p>
        <w:p w:rsidR="005B7C69" w:rsidRPr="00C64AE1" w:rsidRDefault="00423A17">
          <w:pPr>
            <w:pStyle w:val="2"/>
            <w:rPr>
              <w:noProof/>
            </w:rPr>
          </w:pPr>
          <w:hyperlink w:anchor="_Toc531856912" w:history="1">
            <w:r w:rsidR="005B7C69" w:rsidRPr="00C64AE1">
              <w:rPr>
                <w:rStyle w:val="af"/>
                <w:rFonts w:ascii="楷体" w:eastAsia="楷体" w:hAnsi="楷体" w:cs="Times New Roman"/>
                <w:b/>
                <w:noProof/>
                <w:color w:val="auto"/>
              </w:rPr>
              <w:t>2.3</w:t>
            </w:r>
            <w:r w:rsidR="005B7C69" w:rsidRPr="00C64AE1">
              <w:rPr>
                <w:rStyle w:val="af"/>
                <w:rFonts w:ascii="楷体" w:eastAsia="楷体" w:hAnsi="楷体" w:cs="Times New Roman" w:hint="eastAsia"/>
                <w:b/>
                <w:noProof/>
                <w:color w:val="auto"/>
              </w:rPr>
              <w:t>经典片段未来时间段内的因子业绩特征</w:t>
            </w:r>
            <w:r w:rsidR="005B7C69" w:rsidRPr="00C64AE1">
              <w:rPr>
                <w:noProof/>
                <w:webHidden/>
              </w:rPr>
              <w:tab/>
            </w:r>
            <w:r w:rsidRPr="00C64AE1">
              <w:rPr>
                <w:noProof/>
                <w:webHidden/>
              </w:rPr>
              <w:fldChar w:fldCharType="begin"/>
            </w:r>
            <w:r w:rsidR="005B7C69" w:rsidRPr="00C64AE1">
              <w:rPr>
                <w:noProof/>
                <w:webHidden/>
              </w:rPr>
              <w:instrText xml:space="preserve"> PAGEREF _Toc531856912 \h </w:instrText>
            </w:r>
            <w:r w:rsidRPr="00C64AE1">
              <w:rPr>
                <w:noProof/>
                <w:webHidden/>
              </w:rPr>
            </w:r>
            <w:r w:rsidRPr="00C64AE1">
              <w:rPr>
                <w:noProof/>
                <w:webHidden/>
              </w:rPr>
              <w:fldChar w:fldCharType="separate"/>
            </w:r>
            <w:r w:rsidR="005456AC" w:rsidRPr="00C64AE1">
              <w:rPr>
                <w:noProof/>
                <w:webHidden/>
              </w:rPr>
              <w:t>16</w:t>
            </w:r>
            <w:r w:rsidRPr="00C64AE1">
              <w:rPr>
                <w:noProof/>
                <w:webHidden/>
              </w:rPr>
              <w:fldChar w:fldCharType="end"/>
            </w:r>
          </w:hyperlink>
        </w:p>
        <w:p w:rsidR="005B7C69" w:rsidRPr="00C64AE1" w:rsidRDefault="00423A17">
          <w:pPr>
            <w:pStyle w:val="1"/>
            <w:tabs>
              <w:tab w:val="right" w:leader="dot" w:pos="10763"/>
            </w:tabs>
            <w:rPr>
              <w:noProof/>
            </w:rPr>
          </w:pPr>
          <w:hyperlink w:anchor="_Toc531856913" w:history="1">
            <w:r w:rsidR="005B7C69" w:rsidRPr="00C64AE1">
              <w:rPr>
                <w:rStyle w:val="af"/>
                <w:rFonts w:ascii="楷体" w:eastAsia="楷体" w:hAnsi="楷体" w:cs="Times New Roman"/>
                <w:b/>
                <w:noProof/>
                <w:color w:val="auto"/>
              </w:rPr>
              <w:t>3</w:t>
            </w:r>
            <w:r w:rsidR="005B7C69" w:rsidRPr="00C64AE1">
              <w:rPr>
                <w:rStyle w:val="af"/>
                <w:rFonts w:ascii="楷体" w:eastAsia="楷体" w:hAnsi="楷体" w:cs="Times New Roman" w:hint="eastAsia"/>
                <w:b/>
                <w:noProof/>
                <w:color w:val="auto"/>
              </w:rPr>
              <w:t>、</w:t>
            </w:r>
            <w:r w:rsidR="005B7C69" w:rsidRPr="00C64AE1">
              <w:rPr>
                <w:rStyle w:val="af"/>
                <w:rFonts w:ascii="楷体" w:eastAsia="楷体" w:hAnsi="楷体" w:cs="Times New Roman"/>
                <w:b/>
                <w:noProof/>
                <w:color w:val="auto"/>
              </w:rPr>
              <w:t>2019</w:t>
            </w:r>
            <w:r w:rsidR="005B7C69" w:rsidRPr="00C64AE1">
              <w:rPr>
                <w:rStyle w:val="af"/>
                <w:rFonts w:ascii="楷体" w:eastAsia="楷体" w:hAnsi="楷体" w:cs="Times New Roman" w:hint="eastAsia"/>
                <w:b/>
                <w:noProof/>
                <w:color w:val="auto"/>
              </w:rPr>
              <w:t>年市场展望与可能的机会</w:t>
            </w:r>
            <w:r w:rsidR="005B7C69" w:rsidRPr="00C64AE1">
              <w:rPr>
                <w:noProof/>
                <w:webHidden/>
              </w:rPr>
              <w:tab/>
            </w:r>
            <w:r w:rsidRPr="00C64AE1">
              <w:rPr>
                <w:noProof/>
                <w:webHidden/>
              </w:rPr>
              <w:fldChar w:fldCharType="begin"/>
            </w:r>
            <w:r w:rsidR="005B7C69" w:rsidRPr="00C64AE1">
              <w:rPr>
                <w:noProof/>
                <w:webHidden/>
              </w:rPr>
              <w:instrText xml:space="preserve"> PAGEREF _Toc531856913 \h </w:instrText>
            </w:r>
            <w:r w:rsidRPr="00C64AE1">
              <w:rPr>
                <w:noProof/>
                <w:webHidden/>
              </w:rPr>
            </w:r>
            <w:r w:rsidRPr="00C64AE1">
              <w:rPr>
                <w:noProof/>
                <w:webHidden/>
              </w:rPr>
              <w:fldChar w:fldCharType="separate"/>
            </w:r>
            <w:r w:rsidR="005456AC" w:rsidRPr="00C64AE1">
              <w:rPr>
                <w:noProof/>
                <w:webHidden/>
              </w:rPr>
              <w:t>17</w:t>
            </w:r>
            <w:r w:rsidRPr="00C64AE1">
              <w:rPr>
                <w:noProof/>
                <w:webHidden/>
              </w:rPr>
              <w:fldChar w:fldCharType="end"/>
            </w:r>
          </w:hyperlink>
        </w:p>
        <w:p w:rsidR="005B7C69" w:rsidRPr="00C64AE1" w:rsidRDefault="00423A17">
          <w:pPr>
            <w:pStyle w:val="2"/>
            <w:rPr>
              <w:noProof/>
            </w:rPr>
          </w:pPr>
          <w:hyperlink w:anchor="_Toc531856914" w:history="1">
            <w:r w:rsidR="005B7C69" w:rsidRPr="00C64AE1">
              <w:rPr>
                <w:rStyle w:val="af"/>
                <w:rFonts w:ascii="楷体" w:eastAsia="楷体" w:hAnsi="楷体" w:cs="Times New Roman"/>
                <w:b/>
                <w:noProof/>
                <w:color w:val="auto"/>
              </w:rPr>
              <w:t xml:space="preserve">3.1 </w:t>
            </w:r>
            <w:r w:rsidR="005B7C69" w:rsidRPr="00C64AE1">
              <w:rPr>
                <w:rStyle w:val="af"/>
                <w:rFonts w:ascii="楷体" w:eastAsia="楷体" w:hAnsi="楷体" w:cs="Times New Roman" w:hint="eastAsia"/>
                <w:b/>
                <w:noProof/>
                <w:color w:val="auto"/>
              </w:rPr>
              <w:t>资金情绪面的市场大势判断</w:t>
            </w:r>
            <w:r w:rsidR="005B7C69" w:rsidRPr="00C64AE1">
              <w:rPr>
                <w:noProof/>
                <w:webHidden/>
              </w:rPr>
              <w:tab/>
            </w:r>
            <w:r w:rsidRPr="00C64AE1">
              <w:rPr>
                <w:noProof/>
                <w:webHidden/>
              </w:rPr>
              <w:fldChar w:fldCharType="begin"/>
            </w:r>
            <w:r w:rsidR="005B7C69" w:rsidRPr="00C64AE1">
              <w:rPr>
                <w:noProof/>
                <w:webHidden/>
              </w:rPr>
              <w:instrText xml:space="preserve"> PAGEREF _Toc531856914 \h </w:instrText>
            </w:r>
            <w:r w:rsidRPr="00C64AE1">
              <w:rPr>
                <w:noProof/>
                <w:webHidden/>
              </w:rPr>
            </w:r>
            <w:r w:rsidRPr="00C64AE1">
              <w:rPr>
                <w:noProof/>
                <w:webHidden/>
              </w:rPr>
              <w:fldChar w:fldCharType="separate"/>
            </w:r>
            <w:r w:rsidR="005456AC" w:rsidRPr="00C64AE1">
              <w:rPr>
                <w:noProof/>
                <w:webHidden/>
              </w:rPr>
              <w:t>17</w:t>
            </w:r>
            <w:r w:rsidRPr="00C64AE1">
              <w:rPr>
                <w:noProof/>
                <w:webHidden/>
              </w:rPr>
              <w:fldChar w:fldCharType="end"/>
            </w:r>
          </w:hyperlink>
        </w:p>
        <w:p w:rsidR="005B7C69" w:rsidRPr="00C64AE1" w:rsidRDefault="00423A17">
          <w:pPr>
            <w:pStyle w:val="2"/>
            <w:rPr>
              <w:noProof/>
            </w:rPr>
          </w:pPr>
          <w:hyperlink w:anchor="_Toc531856915" w:history="1">
            <w:r w:rsidR="005B7C69" w:rsidRPr="00C64AE1">
              <w:rPr>
                <w:rStyle w:val="af"/>
                <w:rFonts w:ascii="楷体" w:eastAsia="楷体" w:hAnsi="楷体" w:cs="Times New Roman"/>
                <w:b/>
                <w:noProof/>
                <w:color w:val="auto"/>
              </w:rPr>
              <w:t xml:space="preserve">3.2 </w:t>
            </w:r>
            <w:r w:rsidR="005B7C69" w:rsidRPr="00C64AE1">
              <w:rPr>
                <w:rStyle w:val="af"/>
                <w:rFonts w:ascii="楷体" w:eastAsia="楷体" w:hAnsi="楷体" w:cs="Times New Roman" w:hint="eastAsia"/>
                <w:b/>
                <w:noProof/>
                <w:color w:val="auto"/>
              </w:rPr>
              <w:t>择时模型对市场趋势的判断</w:t>
            </w:r>
            <w:r w:rsidR="005B7C69" w:rsidRPr="00C64AE1">
              <w:rPr>
                <w:noProof/>
                <w:webHidden/>
              </w:rPr>
              <w:tab/>
            </w:r>
            <w:r w:rsidRPr="00C64AE1">
              <w:rPr>
                <w:noProof/>
                <w:webHidden/>
              </w:rPr>
              <w:fldChar w:fldCharType="begin"/>
            </w:r>
            <w:r w:rsidR="005B7C69" w:rsidRPr="00C64AE1">
              <w:rPr>
                <w:noProof/>
                <w:webHidden/>
              </w:rPr>
              <w:instrText xml:space="preserve"> PAGEREF _Toc531856915 \h </w:instrText>
            </w:r>
            <w:r w:rsidRPr="00C64AE1">
              <w:rPr>
                <w:noProof/>
                <w:webHidden/>
              </w:rPr>
            </w:r>
            <w:r w:rsidRPr="00C64AE1">
              <w:rPr>
                <w:noProof/>
                <w:webHidden/>
              </w:rPr>
              <w:fldChar w:fldCharType="separate"/>
            </w:r>
            <w:r w:rsidR="005456AC" w:rsidRPr="00C64AE1">
              <w:rPr>
                <w:noProof/>
                <w:webHidden/>
              </w:rPr>
              <w:t>17</w:t>
            </w:r>
            <w:r w:rsidRPr="00C64AE1">
              <w:rPr>
                <w:noProof/>
                <w:webHidden/>
              </w:rPr>
              <w:fldChar w:fldCharType="end"/>
            </w:r>
          </w:hyperlink>
        </w:p>
        <w:p w:rsidR="005B7C69" w:rsidRPr="00C64AE1" w:rsidRDefault="00423A17">
          <w:pPr>
            <w:pStyle w:val="2"/>
            <w:rPr>
              <w:noProof/>
            </w:rPr>
          </w:pPr>
          <w:hyperlink w:anchor="_Toc531856916" w:history="1">
            <w:r w:rsidR="005B7C69" w:rsidRPr="00C64AE1">
              <w:rPr>
                <w:rStyle w:val="af"/>
                <w:rFonts w:ascii="楷体" w:eastAsia="楷体" w:hAnsi="楷体" w:cs="Times New Roman"/>
                <w:b/>
                <w:noProof/>
                <w:color w:val="auto"/>
              </w:rPr>
              <w:t xml:space="preserve">3.3 </w:t>
            </w:r>
            <w:r w:rsidR="005B7C69" w:rsidRPr="00C64AE1">
              <w:rPr>
                <w:rStyle w:val="af"/>
                <w:rFonts w:ascii="楷体" w:eastAsia="楷体" w:hAnsi="楷体" w:cs="Times New Roman" w:hint="eastAsia"/>
                <w:b/>
                <w:noProof/>
                <w:color w:val="auto"/>
              </w:rPr>
              <w:t>历史经验中相对高收益因子预期判断</w:t>
            </w:r>
            <w:r w:rsidR="005B7C69" w:rsidRPr="00C64AE1">
              <w:rPr>
                <w:noProof/>
                <w:webHidden/>
              </w:rPr>
              <w:tab/>
            </w:r>
            <w:r w:rsidRPr="00C64AE1">
              <w:rPr>
                <w:noProof/>
                <w:webHidden/>
              </w:rPr>
              <w:fldChar w:fldCharType="begin"/>
            </w:r>
            <w:r w:rsidR="005B7C69" w:rsidRPr="00C64AE1">
              <w:rPr>
                <w:noProof/>
                <w:webHidden/>
              </w:rPr>
              <w:instrText xml:space="preserve"> PAGEREF _Toc531856916 \h </w:instrText>
            </w:r>
            <w:r w:rsidRPr="00C64AE1">
              <w:rPr>
                <w:noProof/>
                <w:webHidden/>
              </w:rPr>
            </w:r>
            <w:r w:rsidRPr="00C64AE1">
              <w:rPr>
                <w:noProof/>
                <w:webHidden/>
              </w:rPr>
              <w:fldChar w:fldCharType="separate"/>
            </w:r>
            <w:r w:rsidR="005456AC" w:rsidRPr="00C64AE1">
              <w:rPr>
                <w:noProof/>
                <w:webHidden/>
              </w:rPr>
              <w:t>19</w:t>
            </w:r>
            <w:r w:rsidRPr="00C64AE1">
              <w:rPr>
                <w:noProof/>
                <w:webHidden/>
              </w:rPr>
              <w:fldChar w:fldCharType="end"/>
            </w:r>
          </w:hyperlink>
        </w:p>
        <w:p w:rsidR="005B7C69" w:rsidRPr="00C64AE1" w:rsidRDefault="00423A17">
          <w:pPr>
            <w:pStyle w:val="1"/>
            <w:tabs>
              <w:tab w:val="right" w:leader="dot" w:pos="10763"/>
            </w:tabs>
            <w:rPr>
              <w:noProof/>
            </w:rPr>
          </w:pPr>
          <w:hyperlink w:anchor="_Toc531856917" w:history="1">
            <w:r w:rsidR="005B7C69" w:rsidRPr="00C64AE1">
              <w:rPr>
                <w:rStyle w:val="af"/>
                <w:rFonts w:ascii="楷体" w:eastAsia="楷体" w:hAnsi="楷体" w:cs="Times New Roman"/>
                <w:b/>
                <w:noProof/>
                <w:color w:val="auto"/>
              </w:rPr>
              <w:t xml:space="preserve">4 </w:t>
            </w:r>
            <w:r w:rsidR="005B7C69" w:rsidRPr="00C64AE1">
              <w:rPr>
                <w:rStyle w:val="af"/>
                <w:rFonts w:ascii="楷体" w:eastAsia="楷体" w:hAnsi="楷体" w:cs="Times New Roman" w:hint="eastAsia"/>
                <w:b/>
                <w:noProof/>
                <w:color w:val="auto"/>
              </w:rPr>
              <w:t>风险提示</w:t>
            </w:r>
            <w:r w:rsidR="005B7C69" w:rsidRPr="00C64AE1">
              <w:rPr>
                <w:noProof/>
                <w:webHidden/>
              </w:rPr>
              <w:tab/>
            </w:r>
            <w:r w:rsidRPr="00C64AE1">
              <w:rPr>
                <w:noProof/>
                <w:webHidden/>
              </w:rPr>
              <w:fldChar w:fldCharType="begin"/>
            </w:r>
            <w:r w:rsidR="005B7C69" w:rsidRPr="00C64AE1">
              <w:rPr>
                <w:noProof/>
                <w:webHidden/>
              </w:rPr>
              <w:instrText xml:space="preserve"> PAGEREF _Toc531856917 \h </w:instrText>
            </w:r>
            <w:r w:rsidRPr="00C64AE1">
              <w:rPr>
                <w:noProof/>
                <w:webHidden/>
              </w:rPr>
            </w:r>
            <w:r w:rsidRPr="00C64AE1">
              <w:rPr>
                <w:noProof/>
                <w:webHidden/>
              </w:rPr>
              <w:fldChar w:fldCharType="separate"/>
            </w:r>
            <w:r w:rsidR="005456AC" w:rsidRPr="00C64AE1">
              <w:rPr>
                <w:noProof/>
                <w:webHidden/>
              </w:rPr>
              <w:t>19</w:t>
            </w:r>
            <w:r w:rsidRPr="00C64AE1">
              <w:rPr>
                <w:noProof/>
                <w:webHidden/>
              </w:rPr>
              <w:fldChar w:fldCharType="end"/>
            </w:r>
          </w:hyperlink>
        </w:p>
        <w:p w:rsidR="00715799" w:rsidRPr="00C64AE1" w:rsidRDefault="00423A17" w:rsidP="00715799">
          <w:pPr>
            <w:rPr>
              <w:rFonts w:ascii="楷体" w:eastAsia="楷体" w:hAnsi="楷体" w:cs="Times New Roman"/>
              <w:szCs w:val="24"/>
            </w:rPr>
          </w:pPr>
          <w:r w:rsidRPr="00C64AE1">
            <w:rPr>
              <w:rFonts w:ascii="楷体" w:eastAsia="楷体" w:hAnsi="楷体" w:cs="Times New Roman"/>
              <w:szCs w:val="24"/>
            </w:rPr>
            <w:fldChar w:fldCharType="end"/>
          </w:r>
        </w:p>
      </w:sdtContent>
    </w:sdt>
    <w:p w:rsidR="00F42B84" w:rsidRPr="00C64AE1" w:rsidRDefault="00F42B84">
      <w:pPr>
        <w:widowControl/>
        <w:jc w:val="left"/>
        <w:rPr>
          <w:rFonts w:ascii="楷体" w:eastAsia="楷体" w:hAnsi="楷体" w:cs="Times New Roman"/>
          <w:b/>
          <w:sz w:val="28"/>
          <w:szCs w:val="28"/>
        </w:rPr>
      </w:pPr>
      <w:r w:rsidRPr="00C64AE1">
        <w:rPr>
          <w:rFonts w:ascii="楷体" w:eastAsia="楷体" w:hAnsi="楷体" w:cs="Times New Roman"/>
          <w:b/>
          <w:sz w:val="28"/>
          <w:szCs w:val="28"/>
        </w:rPr>
        <w:br w:type="page"/>
      </w:r>
    </w:p>
    <w:p w:rsidR="004B25F2" w:rsidRPr="00C64AE1" w:rsidRDefault="004B25F2" w:rsidP="004B25F2">
      <w:pPr>
        <w:pStyle w:val="af5"/>
        <w:tabs>
          <w:tab w:val="right" w:leader="dot" w:pos="10763"/>
        </w:tabs>
        <w:ind w:leftChars="9" w:left="283" w:hangingChars="94" w:hanging="264"/>
        <w:jc w:val="center"/>
        <w:rPr>
          <w:rFonts w:ascii="楷体" w:eastAsia="楷体" w:hAnsi="楷体" w:cstheme="majorBidi"/>
          <w:b/>
          <w:bCs/>
          <w:kern w:val="0"/>
          <w:sz w:val="28"/>
          <w:szCs w:val="28"/>
          <w:lang w:val="zh-CN"/>
        </w:rPr>
      </w:pPr>
      <w:r w:rsidRPr="00C64AE1">
        <w:rPr>
          <w:rFonts w:ascii="楷体" w:eastAsia="楷体" w:hAnsi="楷体" w:cstheme="majorBidi" w:hint="eastAsia"/>
          <w:b/>
          <w:bCs/>
          <w:kern w:val="0"/>
          <w:sz w:val="28"/>
          <w:szCs w:val="28"/>
          <w:lang w:val="zh-CN"/>
        </w:rPr>
        <w:lastRenderedPageBreak/>
        <w:t>图表目录</w:t>
      </w:r>
    </w:p>
    <w:p w:rsidR="004B25F2" w:rsidRPr="00C64AE1" w:rsidRDefault="00423A17" w:rsidP="004B25F2">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sz w:val="24"/>
          <w:szCs w:val="24"/>
        </w:rPr>
        <w:fldChar w:fldCharType="begin"/>
      </w:r>
      <w:r w:rsidR="004B25F2" w:rsidRPr="00C64AE1">
        <w:rPr>
          <w:rFonts w:ascii="楷体" w:eastAsia="楷体" w:hAnsi="楷体" w:hint="eastAsia"/>
          <w:sz w:val="24"/>
          <w:szCs w:val="24"/>
        </w:rPr>
        <w:instrText xml:space="preserve"> TOC \c "图表" </w:instrText>
      </w:r>
      <w:r w:rsidRPr="00C64AE1">
        <w:rPr>
          <w:rFonts w:ascii="楷体" w:eastAsia="楷体" w:hAnsi="楷体" w:hint="eastAsia"/>
          <w:sz w:val="24"/>
          <w:szCs w:val="24"/>
        </w:rPr>
        <w:fldChar w:fldCharType="separate"/>
      </w:r>
      <w:r w:rsidR="004B25F2" w:rsidRPr="00C64AE1">
        <w:rPr>
          <w:rFonts w:ascii="楷体" w:eastAsia="楷体" w:hAnsi="楷体" w:hint="eastAsia"/>
          <w:noProof/>
          <w:sz w:val="24"/>
          <w:szCs w:val="24"/>
        </w:rPr>
        <w:t xml:space="preserve">图1  </w:t>
      </w:r>
      <w:r w:rsidR="000A7B61" w:rsidRPr="00C64AE1">
        <w:rPr>
          <w:rFonts w:ascii="楷体" w:eastAsia="楷体" w:hAnsi="楷体" w:hint="eastAsia"/>
          <w:noProof/>
          <w:sz w:val="24"/>
          <w:szCs w:val="24"/>
        </w:rPr>
        <w:t>2018年以来市场主要指数走势图</w:t>
      </w:r>
      <w:r w:rsidR="004B25F2" w:rsidRPr="00C64AE1">
        <w:rPr>
          <w:rFonts w:ascii="楷体" w:eastAsia="楷体" w:hAnsi="楷体" w:hint="eastAsia"/>
          <w:noProof/>
          <w:sz w:val="24"/>
          <w:szCs w:val="24"/>
        </w:rPr>
        <w:tab/>
      </w:r>
      <w:r w:rsidR="00553FD8" w:rsidRPr="00C64AE1">
        <w:rPr>
          <w:rFonts w:ascii="楷体" w:eastAsia="楷体" w:hAnsi="楷体"/>
          <w:noProof/>
          <w:sz w:val="24"/>
          <w:szCs w:val="24"/>
        </w:rPr>
        <w:t>4</w:t>
      </w:r>
    </w:p>
    <w:p w:rsidR="004B25F2" w:rsidRPr="00C64AE1" w:rsidRDefault="004B25F2" w:rsidP="004B25F2">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 xml:space="preserve">图2  </w:t>
      </w:r>
      <w:r w:rsidR="000A7B61" w:rsidRPr="00C64AE1">
        <w:rPr>
          <w:rFonts w:ascii="楷体" w:eastAsia="楷体" w:hAnsi="楷体" w:cs="Arial" w:hint="eastAsia"/>
          <w:sz w:val="24"/>
          <w:szCs w:val="24"/>
        </w:rPr>
        <w:t>2018年以来沪深两市融资融券趋势图</w:t>
      </w:r>
      <w:r w:rsidRPr="00C64AE1">
        <w:rPr>
          <w:rFonts w:ascii="楷体" w:eastAsia="楷体" w:hAnsi="楷体" w:hint="eastAsia"/>
          <w:noProof/>
          <w:sz w:val="24"/>
          <w:szCs w:val="24"/>
        </w:rPr>
        <w:tab/>
      </w:r>
      <w:r w:rsidR="00553FD8" w:rsidRPr="00C64AE1">
        <w:rPr>
          <w:rFonts w:ascii="楷体" w:eastAsia="楷体" w:hAnsi="楷体"/>
          <w:noProof/>
          <w:sz w:val="24"/>
          <w:szCs w:val="24"/>
        </w:rPr>
        <w:t>5</w:t>
      </w:r>
    </w:p>
    <w:p w:rsidR="004B25F2" w:rsidRPr="00C64AE1" w:rsidRDefault="004B25F2" w:rsidP="004B25F2">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 xml:space="preserve">图3  </w:t>
      </w:r>
      <w:r w:rsidR="000A7B61" w:rsidRPr="00C64AE1">
        <w:rPr>
          <w:rFonts w:ascii="楷体" w:eastAsia="楷体" w:hAnsi="楷体" w:cs="Arial" w:hint="eastAsia"/>
          <w:sz w:val="24"/>
          <w:szCs w:val="24"/>
        </w:rPr>
        <w:t>大股东质押股数趋势图</w:t>
      </w:r>
      <w:r w:rsidRPr="00C64AE1">
        <w:rPr>
          <w:rFonts w:ascii="楷体" w:eastAsia="楷体" w:hAnsi="楷体" w:hint="eastAsia"/>
          <w:noProof/>
          <w:sz w:val="24"/>
          <w:szCs w:val="24"/>
        </w:rPr>
        <w:tab/>
      </w:r>
      <w:r w:rsidR="00553FD8" w:rsidRPr="00C64AE1">
        <w:rPr>
          <w:rFonts w:ascii="楷体" w:eastAsia="楷体" w:hAnsi="楷体"/>
          <w:noProof/>
          <w:sz w:val="24"/>
          <w:szCs w:val="24"/>
        </w:rPr>
        <w:t>5</w:t>
      </w:r>
    </w:p>
    <w:p w:rsidR="004B25F2" w:rsidRPr="00C64AE1" w:rsidRDefault="00423A17" w:rsidP="004B25F2">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sz w:val="24"/>
          <w:szCs w:val="24"/>
        </w:rPr>
        <w:fldChar w:fldCharType="end"/>
      </w:r>
      <w:r w:rsidRPr="00423A17">
        <w:rPr>
          <w:rFonts w:ascii="楷体" w:eastAsia="楷体" w:hAnsi="楷体" w:hint="eastAsia"/>
          <w:sz w:val="24"/>
          <w:szCs w:val="24"/>
        </w:rPr>
        <w:fldChar w:fldCharType="begin"/>
      </w:r>
      <w:r w:rsidR="004B25F2" w:rsidRPr="00C64AE1">
        <w:rPr>
          <w:rFonts w:ascii="楷体" w:eastAsia="楷体" w:hAnsi="楷体" w:hint="eastAsia"/>
          <w:sz w:val="24"/>
          <w:szCs w:val="24"/>
        </w:rPr>
        <w:instrText xml:space="preserve"> TOC \c "图表" </w:instrText>
      </w:r>
      <w:r w:rsidRPr="00423A17">
        <w:rPr>
          <w:rFonts w:ascii="楷体" w:eastAsia="楷体" w:hAnsi="楷体" w:hint="eastAsia"/>
          <w:sz w:val="24"/>
          <w:szCs w:val="24"/>
        </w:rPr>
        <w:fldChar w:fldCharType="separate"/>
      </w:r>
      <w:r w:rsidR="004B25F2" w:rsidRPr="00C64AE1">
        <w:rPr>
          <w:rFonts w:ascii="楷体" w:eastAsia="楷体" w:hAnsi="楷体" w:hint="eastAsia"/>
          <w:noProof/>
          <w:sz w:val="24"/>
          <w:szCs w:val="24"/>
        </w:rPr>
        <w:t xml:space="preserve">图4  </w:t>
      </w:r>
      <w:r w:rsidR="000A7B61" w:rsidRPr="00C64AE1">
        <w:rPr>
          <w:rFonts w:ascii="楷体" w:eastAsia="楷体" w:hAnsi="楷体" w:cs="Arial" w:hint="eastAsia"/>
          <w:sz w:val="24"/>
          <w:szCs w:val="24"/>
        </w:rPr>
        <w:t>大股东质押股票疑似触及平仓线规模趋势图</w:t>
      </w:r>
      <w:r w:rsidR="004B25F2" w:rsidRPr="00C64AE1">
        <w:rPr>
          <w:rFonts w:ascii="楷体" w:eastAsia="楷体" w:hAnsi="楷体" w:hint="eastAsia"/>
          <w:noProof/>
          <w:sz w:val="24"/>
          <w:szCs w:val="24"/>
        </w:rPr>
        <w:tab/>
      </w:r>
      <w:r w:rsidR="00846D58" w:rsidRPr="00C64AE1">
        <w:rPr>
          <w:rFonts w:ascii="楷体" w:eastAsia="楷体" w:hAnsi="楷体"/>
          <w:noProof/>
          <w:sz w:val="24"/>
          <w:szCs w:val="24"/>
        </w:rPr>
        <w:t>5</w:t>
      </w:r>
    </w:p>
    <w:p w:rsidR="004B25F2" w:rsidRPr="00C64AE1" w:rsidRDefault="004B25F2" w:rsidP="004B25F2">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 xml:space="preserve">图5  </w:t>
      </w:r>
      <w:r w:rsidR="000A7B61" w:rsidRPr="00C64AE1">
        <w:rPr>
          <w:rFonts w:ascii="楷体" w:eastAsia="楷体" w:hAnsi="楷体" w:cs="Arial" w:hint="eastAsia"/>
          <w:sz w:val="24"/>
          <w:szCs w:val="24"/>
        </w:rPr>
        <w:t>2018年以来，申万一级行业指数涨跌与活跃状况图</w:t>
      </w:r>
      <w:r w:rsidRPr="00C64AE1">
        <w:rPr>
          <w:rFonts w:ascii="楷体" w:eastAsia="楷体" w:hAnsi="楷体" w:hint="eastAsia"/>
          <w:noProof/>
          <w:sz w:val="24"/>
          <w:szCs w:val="24"/>
        </w:rPr>
        <w:tab/>
      </w:r>
      <w:r w:rsidR="00846D58" w:rsidRPr="00C64AE1">
        <w:rPr>
          <w:rFonts w:ascii="楷体" w:eastAsia="楷体" w:hAnsi="楷体"/>
          <w:noProof/>
          <w:sz w:val="24"/>
          <w:szCs w:val="24"/>
        </w:rPr>
        <w:t>5</w:t>
      </w:r>
    </w:p>
    <w:p w:rsidR="004B25F2" w:rsidRPr="00C64AE1" w:rsidRDefault="004B25F2" w:rsidP="004B25F2">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noProof/>
          <w:sz w:val="24"/>
          <w:szCs w:val="24"/>
        </w:rPr>
        <w:t xml:space="preserve">图6  </w:t>
      </w:r>
      <w:r w:rsidR="000A7B61" w:rsidRPr="00C64AE1">
        <w:rPr>
          <w:rFonts w:ascii="楷体" w:eastAsia="楷体" w:hAnsi="楷体" w:cs="Arial" w:hint="eastAsia"/>
          <w:sz w:val="24"/>
          <w:szCs w:val="24"/>
        </w:rPr>
        <w:t>上证综指及其成交量趋势图</w:t>
      </w:r>
      <w:r w:rsidRPr="00C64AE1">
        <w:rPr>
          <w:rFonts w:ascii="楷体" w:eastAsia="楷体" w:hAnsi="楷体" w:hint="eastAsia"/>
          <w:noProof/>
          <w:sz w:val="24"/>
          <w:szCs w:val="24"/>
        </w:rPr>
        <w:tab/>
      </w:r>
      <w:r w:rsidR="00846D58" w:rsidRPr="00C64AE1">
        <w:rPr>
          <w:rFonts w:ascii="楷体" w:eastAsia="楷体" w:hAnsi="楷体"/>
          <w:noProof/>
          <w:sz w:val="24"/>
          <w:szCs w:val="24"/>
        </w:rPr>
        <w:t>6</w:t>
      </w:r>
    </w:p>
    <w:p w:rsidR="004B25F2" w:rsidRPr="00C64AE1" w:rsidRDefault="004B25F2" w:rsidP="004B25F2">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noProof/>
          <w:sz w:val="24"/>
          <w:szCs w:val="24"/>
        </w:rPr>
        <w:t xml:space="preserve">图7  </w:t>
      </w:r>
      <w:r w:rsidR="000A7B61" w:rsidRPr="00C64AE1">
        <w:rPr>
          <w:rFonts w:ascii="楷体" w:eastAsia="楷体" w:hAnsi="楷体" w:hint="eastAsia"/>
          <w:noProof/>
          <w:sz w:val="24"/>
          <w:szCs w:val="24"/>
        </w:rPr>
        <w:t>深证成指及其成交量趋势图</w:t>
      </w:r>
      <w:r w:rsidRPr="00C64AE1">
        <w:rPr>
          <w:rFonts w:ascii="楷体" w:eastAsia="楷体" w:hAnsi="楷体" w:hint="eastAsia"/>
          <w:noProof/>
          <w:sz w:val="24"/>
          <w:szCs w:val="24"/>
        </w:rPr>
        <w:tab/>
      </w:r>
      <w:r w:rsidR="00846D58" w:rsidRPr="00C64AE1">
        <w:rPr>
          <w:rFonts w:ascii="楷体" w:eastAsia="楷体" w:hAnsi="楷体"/>
          <w:noProof/>
          <w:sz w:val="24"/>
          <w:szCs w:val="24"/>
        </w:rPr>
        <w:t>6</w:t>
      </w:r>
    </w:p>
    <w:p w:rsidR="000A7B61" w:rsidRPr="00C64AE1" w:rsidRDefault="000A7B61" w:rsidP="000A7B61">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8</w:t>
      </w:r>
      <w:r w:rsidRPr="00C64AE1">
        <w:rPr>
          <w:rFonts w:ascii="楷体" w:eastAsia="楷体" w:hAnsi="楷体" w:hint="eastAsia"/>
          <w:noProof/>
          <w:sz w:val="24"/>
          <w:szCs w:val="24"/>
        </w:rPr>
        <w:t xml:space="preserve">  </w:t>
      </w:r>
      <w:r w:rsidRPr="00C64AE1">
        <w:rPr>
          <w:rFonts w:ascii="楷体" w:eastAsia="楷体" w:hAnsi="楷体" w:cs="Arial" w:hint="eastAsia"/>
          <w:sz w:val="24"/>
          <w:szCs w:val="24"/>
        </w:rPr>
        <w:t>沪深两市资金流整体趋势图</w:t>
      </w:r>
      <w:r w:rsidRPr="00C64AE1">
        <w:rPr>
          <w:rFonts w:ascii="楷体" w:eastAsia="楷体" w:hAnsi="楷体" w:hint="eastAsia"/>
          <w:noProof/>
          <w:sz w:val="24"/>
          <w:szCs w:val="24"/>
        </w:rPr>
        <w:tab/>
      </w:r>
      <w:r w:rsidR="00846D58" w:rsidRPr="00C64AE1">
        <w:rPr>
          <w:rFonts w:ascii="楷体" w:eastAsia="楷体" w:hAnsi="楷体"/>
          <w:noProof/>
          <w:sz w:val="24"/>
          <w:szCs w:val="24"/>
        </w:rPr>
        <w:t>7</w:t>
      </w:r>
    </w:p>
    <w:p w:rsidR="000A7B61" w:rsidRPr="00C64AE1" w:rsidRDefault="000A7B61" w:rsidP="000A7B61">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9</w:t>
      </w:r>
      <w:r w:rsidRPr="00C64AE1">
        <w:rPr>
          <w:rFonts w:ascii="楷体" w:eastAsia="楷体" w:hAnsi="楷体" w:hint="eastAsia"/>
          <w:noProof/>
          <w:sz w:val="24"/>
          <w:szCs w:val="24"/>
        </w:rPr>
        <w:t xml:space="preserve">  </w:t>
      </w:r>
      <w:r w:rsidRPr="00C64AE1">
        <w:rPr>
          <w:rFonts w:ascii="楷体" w:eastAsia="楷体" w:hAnsi="楷体" w:cs="Arial" w:hint="eastAsia"/>
          <w:sz w:val="24"/>
          <w:szCs w:val="24"/>
        </w:rPr>
        <w:t>沪深两市资金结构配置图</w:t>
      </w:r>
      <w:r w:rsidRPr="00C64AE1">
        <w:rPr>
          <w:rFonts w:ascii="楷体" w:eastAsia="楷体" w:hAnsi="楷体" w:hint="eastAsia"/>
          <w:noProof/>
          <w:sz w:val="24"/>
          <w:szCs w:val="24"/>
        </w:rPr>
        <w:tab/>
      </w:r>
      <w:r w:rsidR="00846D58" w:rsidRPr="00C64AE1">
        <w:rPr>
          <w:rFonts w:ascii="楷体" w:eastAsia="楷体" w:hAnsi="楷体"/>
          <w:noProof/>
          <w:sz w:val="24"/>
          <w:szCs w:val="24"/>
        </w:rPr>
        <w:t>7</w:t>
      </w:r>
    </w:p>
    <w:p w:rsidR="000A7B61" w:rsidRPr="00C64AE1" w:rsidRDefault="000A7B61" w:rsidP="000A7B61">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10</w:t>
      </w:r>
      <w:r w:rsidRPr="00C64AE1">
        <w:rPr>
          <w:rFonts w:ascii="楷体" w:eastAsia="楷体" w:hAnsi="楷体" w:hint="eastAsia"/>
          <w:noProof/>
          <w:sz w:val="24"/>
          <w:szCs w:val="24"/>
        </w:rPr>
        <w:t xml:space="preserve">  </w:t>
      </w:r>
      <w:r w:rsidRPr="00C64AE1">
        <w:rPr>
          <w:rFonts w:ascii="楷体" w:eastAsia="楷体" w:hAnsi="楷体" w:cs="Arial" w:hint="eastAsia"/>
          <w:sz w:val="24"/>
          <w:szCs w:val="24"/>
        </w:rPr>
        <w:t>2018年以来，A股资金板块配置及趋势图</w:t>
      </w:r>
      <w:r w:rsidRPr="00C64AE1">
        <w:rPr>
          <w:rFonts w:ascii="楷体" w:eastAsia="楷体" w:hAnsi="楷体" w:hint="eastAsia"/>
          <w:noProof/>
          <w:sz w:val="24"/>
          <w:szCs w:val="24"/>
        </w:rPr>
        <w:tab/>
      </w:r>
      <w:r w:rsidR="00846D58" w:rsidRPr="00C64AE1">
        <w:rPr>
          <w:rFonts w:ascii="楷体" w:eastAsia="楷体" w:hAnsi="楷体"/>
          <w:noProof/>
          <w:sz w:val="24"/>
          <w:szCs w:val="24"/>
        </w:rPr>
        <w:t>8</w:t>
      </w:r>
    </w:p>
    <w:p w:rsidR="000A7B61" w:rsidRPr="00C64AE1" w:rsidRDefault="000A7B61" w:rsidP="000A7B61">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11</w:t>
      </w:r>
      <w:r w:rsidRPr="00C64AE1">
        <w:rPr>
          <w:rFonts w:ascii="楷体" w:eastAsia="楷体" w:hAnsi="楷体" w:hint="eastAsia"/>
          <w:noProof/>
          <w:sz w:val="24"/>
          <w:szCs w:val="24"/>
        </w:rPr>
        <w:t xml:space="preserve">  </w:t>
      </w:r>
      <w:r w:rsidRPr="00C64AE1">
        <w:rPr>
          <w:rFonts w:ascii="楷体" w:eastAsia="楷体" w:hAnsi="楷体" w:cs="Arial" w:hint="eastAsia"/>
          <w:sz w:val="24"/>
          <w:szCs w:val="24"/>
        </w:rPr>
        <w:t>沪股通资金流量与存量趋势图</w:t>
      </w:r>
      <w:r w:rsidRPr="00C64AE1">
        <w:rPr>
          <w:rFonts w:ascii="楷体" w:eastAsia="楷体" w:hAnsi="楷体" w:hint="eastAsia"/>
          <w:noProof/>
          <w:sz w:val="24"/>
          <w:szCs w:val="24"/>
        </w:rPr>
        <w:tab/>
      </w:r>
      <w:r w:rsidR="0066516C" w:rsidRPr="00C64AE1">
        <w:rPr>
          <w:rFonts w:ascii="楷体" w:eastAsia="楷体" w:hAnsi="楷体" w:hint="eastAsia"/>
          <w:noProof/>
          <w:sz w:val="24"/>
          <w:szCs w:val="24"/>
        </w:rPr>
        <w:t>9</w:t>
      </w:r>
    </w:p>
    <w:p w:rsidR="000A7B61" w:rsidRPr="00C64AE1" w:rsidRDefault="000A7B61" w:rsidP="000A7B61">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12</w:t>
      </w:r>
      <w:r w:rsidRPr="00C64AE1">
        <w:rPr>
          <w:rFonts w:ascii="楷体" w:eastAsia="楷体" w:hAnsi="楷体" w:hint="eastAsia"/>
          <w:noProof/>
          <w:sz w:val="24"/>
          <w:szCs w:val="24"/>
        </w:rPr>
        <w:t xml:space="preserve">  </w:t>
      </w:r>
      <w:r w:rsidRPr="00C64AE1">
        <w:rPr>
          <w:rFonts w:ascii="楷体" w:eastAsia="楷体" w:hAnsi="楷体" w:cs="Arial" w:hint="eastAsia"/>
          <w:sz w:val="24"/>
          <w:szCs w:val="24"/>
        </w:rPr>
        <w:t>深股通资金流量与存量趋势图</w:t>
      </w:r>
      <w:r w:rsidRPr="00C64AE1">
        <w:rPr>
          <w:rFonts w:ascii="楷体" w:eastAsia="楷体" w:hAnsi="楷体" w:hint="eastAsia"/>
          <w:noProof/>
          <w:sz w:val="24"/>
          <w:szCs w:val="24"/>
        </w:rPr>
        <w:tab/>
      </w:r>
      <w:r w:rsidR="0066516C" w:rsidRPr="00C64AE1">
        <w:rPr>
          <w:rFonts w:ascii="楷体" w:eastAsia="楷体" w:hAnsi="楷体" w:hint="eastAsia"/>
          <w:noProof/>
          <w:sz w:val="24"/>
          <w:szCs w:val="24"/>
        </w:rPr>
        <w:t>9</w:t>
      </w:r>
    </w:p>
    <w:p w:rsidR="000A7B61" w:rsidRPr="00C64AE1" w:rsidRDefault="000A7B61" w:rsidP="000A7B61">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 xml:space="preserve">13  </w:t>
      </w:r>
      <w:r w:rsidRPr="00C64AE1">
        <w:rPr>
          <w:rFonts w:ascii="楷体" w:eastAsia="楷体" w:hAnsi="楷体" w:cs="Arial" w:hint="eastAsia"/>
          <w:sz w:val="24"/>
          <w:szCs w:val="24"/>
        </w:rPr>
        <w:t>沪股通北上资金个股配置占比图</w:t>
      </w:r>
      <w:r w:rsidRPr="00C64AE1">
        <w:rPr>
          <w:rFonts w:ascii="楷体" w:eastAsia="楷体" w:hAnsi="楷体" w:hint="eastAsia"/>
          <w:noProof/>
          <w:sz w:val="24"/>
          <w:szCs w:val="24"/>
        </w:rPr>
        <w:tab/>
      </w:r>
      <w:r w:rsidR="00846D58" w:rsidRPr="00C64AE1">
        <w:rPr>
          <w:rFonts w:ascii="楷体" w:eastAsia="楷体" w:hAnsi="楷体"/>
          <w:noProof/>
          <w:sz w:val="24"/>
          <w:szCs w:val="24"/>
        </w:rPr>
        <w:t>9</w:t>
      </w:r>
    </w:p>
    <w:p w:rsidR="000A7B61" w:rsidRPr="00C64AE1" w:rsidRDefault="000A7B61" w:rsidP="000A7B61">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14</w:t>
      </w:r>
      <w:r w:rsidRPr="00C64AE1">
        <w:rPr>
          <w:rFonts w:ascii="楷体" w:eastAsia="楷体" w:hAnsi="楷体" w:hint="eastAsia"/>
          <w:noProof/>
          <w:sz w:val="24"/>
          <w:szCs w:val="24"/>
        </w:rPr>
        <w:t xml:space="preserve">  深股通北上资金个股配置占比图</w:t>
      </w:r>
      <w:r w:rsidRPr="00C64AE1">
        <w:rPr>
          <w:rFonts w:ascii="楷体" w:eastAsia="楷体" w:hAnsi="楷体" w:hint="eastAsia"/>
          <w:noProof/>
          <w:sz w:val="24"/>
          <w:szCs w:val="24"/>
        </w:rPr>
        <w:tab/>
      </w:r>
      <w:r w:rsidR="00846D58" w:rsidRPr="00C64AE1">
        <w:rPr>
          <w:rFonts w:ascii="楷体" w:eastAsia="楷体" w:hAnsi="楷体"/>
          <w:noProof/>
          <w:sz w:val="24"/>
          <w:szCs w:val="24"/>
        </w:rPr>
        <w:t>9</w:t>
      </w:r>
    </w:p>
    <w:p w:rsidR="000A7B61" w:rsidRPr="00C64AE1" w:rsidRDefault="000A7B61" w:rsidP="000A7B61">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15</w:t>
      </w:r>
      <w:r w:rsidRPr="00C64AE1">
        <w:rPr>
          <w:rFonts w:ascii="楷体" w:eastAsia="楷体" w:hAnsi="楷体" w:hint="eastAsia"/>
          <w:noProof/>
          <w:sz w:val="24"/>
          <w:szCs w:val="24"/>
        </w:rPr>
        <w:t xml:space="preserve">  </w:t>
      </w:r>
      <w:r w:rsidRPr="00C64AE1">
        <w:rPr>
          <w:rFonts w:ascii="楷体" w:eastAsia="楷体" w:hAnsi="楷体" w:cs="Arial" w:hint="eastAsia"/>
          <w:sz w:val="24"/>
          <w:szCs w:val="24"/>
        </w:rPr>
        <w:t>全市场基金调仓及风格偏好趋势图</w:t>
      </w:r>
      <w:r w:rsidRPr="00C64AE1">
        <w:rPr>
          <w:rFonts w:ascii="楷体" w:eastAsia="楷体" w:hAnsi="楷体" w:hint="eastAsia"/>
          <w:noProof/>
          <w:sz w:val="24"/>
          <w:szCs w:val="24"/>
        </w:rPr>
        <w:tab/>
      </w:r>
      <w:r w:rsidR="00846D58" w:rsidRPr="00C64AE1">
        <w:rPr>
          <w:rFonts w:ascii="楷体" w:eastAsia="楷体" w:hAnsi="楷体"/>
          <w:noProof/>
          <w:sz w:val="24"/>
          <w:szCs w:val="24"/>
        </w:rPr>
        <w:t>10</w:t>
      </w:r>
    </w:p>
    <w:p w:rsidR="000A7B61" w:rsidRPr="00C64AE1" w:rsidRDefault="000A7B61" w:rsidP="000A7B61">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16</w:t>
      </w:r>
      <w:r w:rsidRPr="00C64AE1">
        <w:rPr>
          <w:rFonts w:ascii="楷体" w:eastAsia="楷体" w:hAnsi="楷体" w:hint="eastAsia"/>
          <w:noProof/>
          <w:sz w:val="24"/>
          <w:szCs w:val="24"/>
        </w:rPr>
        <w:t xml:space="preserve">  </w:t>
      </w:r>
      <w:r w:rsidRPr="00C64AE1">
        <w:rPr>
          <w:rFonts w:ascii="楷体" w:eastAsia="楷体" w:hAnsi="楷体" w:cs="Arial" w:hint="eastAsia"/>
          <w:sz w:val="24"/>
          <w:szCs w:val="24"/>
        </w:rPr>
        <w:t>全市场研究员情绪及市场估值趋势图</w:t>
      </w:r>
      <w:r w:rsidRPr="00C64AE1">
        <w:rPr>
          <w:rFonts w:ascii="楷体" w:eastAsia="楷体" w:hAnsi="楷体" w:hint="eastAsia"/>
          <w:noProof/>
          <w:sz w:val="24"/>
          <w:szCs w:val="24"/>
        </w:rPr>
        <w:tab/>
      </w:r>
      <w:r w:rsidR="00846D58" w:rsidRPr="00C64AE1">
        <w:rPr>
          <w:rFonts w:ascii="楷体" w:eastAsia="楷体" w:hAnsi="楷体"/>
          <w:noProof/>
          <w:sz w:val="24"/>
          <w:szCs w:val="24"/>
        </w:rPr>
        <w:t>10</w:t>
      </w:r>
    </w:p>
    <w:p w:rsidR="000A7B61" w:rsidRPr="00C64AE1" w:rsidRDefault="000A7B61" w:rsidP="000A7B61">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17</w:t>
      </w:r>
      <w:r w:rsidRPr="00C64AE1">
        <w:rPr>
          <w:rFonts w:ascii="楷体" w:eastAsia="楷体" w:hAnsi="楷体" w:hint="eastAsia"/>
          <w:noProof/>
          <w:sz w:val="24"/>
          <w:szCs w:val="24"/>
        </w:rPr>
        <w:t xml:space="preserve"> </w:t>
      </w:r>
      <w:r w:rsidRPr="00C64AE1">
        <w:rPr>
          <w:rFonts w:ascii="楷体" w:eastAsia="楷体" w:hAnsi="楷体" w:cs="Arial" w:hint="eastAsia"/>
          <w:sz w:val="24"/>
          <w:szCs w:val="24"/>
        </w:rPr>
        <w:t xml:space="preserve"> </w:t>
      </w:r>
      <w:r w:rsidR="0066516C" w:rsidRPr="00C64AE1">
        <w:rPr>
          <w:rFonts w:ascii="楷体" w:eastAsia="楷体" w:hAnsi="楷体" w:cs="Arial" w:hint="eastAsia"/>
          <w:sz w:val="24"/>
          <w:szCs w:val="24"/>
        </w:rPr>
        <w:t>2018年以来，智能稳健组合产品的净值趋势图</w:t>
      </w:r>
      <w:r w:rsidRPr="00C64AE1">
        <w:rPr>
          <w:rFonts w:ascii="楷体" w:eastAsia="楷体" w:hAnsi="楷体" w:hint="eastAsia"/>
          <w:noProof/>
          <w:sz w:val="24"/>
          <w:szCs w:val="24"/>
        </w:rPr>
        <w:tab/>
      </w:r>
      <w:r w:rsidR="00846D58" w:rsidRPr="00C64AE1">
        <w:rPr>
          <w:rFonts w:ascii="楷体" w:eastAsia="楷体" w:hAnsi="楷体"/>
          <w:noProof/>
          <w:sz w:val="24"/>
          <w:szCs w:val="24"/>
        </w:rPr>
        <w:t>11</w:t>
      </w:r>
    </w:p>
    <w:p w:rsidR="000A7B61" w:rsidRPr="00C64AE1" w:rsidRDefault="000A7B61" w:rsidP="000A7B61">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18</w:t>
      </w:r>
      <w:r w:rsidRPr="00C64AE1">
        <w:rPr>
          <w:rFonts w:ascii="楷体" w:eastAsia="楷体" w:hAnsi="楷体" w:hint="eastAsia"/>
          <w:noProof/>
          <w:sz w:val="24"/>
          <w:szCs w:val="24"/>
        </w:rPr>
        <w:t xml:space="preserve">  全市场基本面选股对冲中证500净值走势图</w:t>
      </w:r>
      <w:r w:rsidRPr="00C64AE1">
        <w:rPr>
          <w:rFonts w:ascii="楷体" w:eastAsia="楷体" w:hAnsi="楷体" w:hint="eastAsia"/>
          <w:noProof/>
          <w:sz w:val="24"/>
          <w:szCs w:val="24"/>
        </w:rPr>
        <w:tab/>
      </w:r>
      <w:r w:rsidR="00846D58" w:rsidRPr="00C64AE1">
        <w:rPr>
          <w:rFonts w:ascii="楷体" w:eastAsia="楷体" w:hAnsi="楷体"/>
          <w:noProof/>
          <w:sz w:val="24"/>
          <w:szCs w:val="24"/>
        </w:rPr>
        <w:t>1</w:t>
      </w:r>
      <w:r w:rsidR="0066516C" w:rsidRPr="00C64AE1">
        <w:rPr>
          <w:rFonts w:ascii="楷体" w:eastAsia="楷体" w:hAnsi="楷体" w:hint="eastAsia"/>
          <w:noProof/>
          <w:sz w:val="24"/>
          <w:szCs w:val="24"/>
        </w:rPr>
        <w:t>3</w:t>
      </w:r>
    </w:p>
    <w:p w:rsidR="000A7B61" w:rsidRPr="00C64AE1" w:rsidRDefault="000A7B61" w:rsidP="000A7B61">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19</w:t>
      </w:r>
      <w:r w:rsidRPr="00C64AE1">
        <w:rPr>
          <w:rFonts w:ascii="楷体" w:eastAsia="楷体" w:hAnsi="楷体" w:hint="eastAsia"/>
          <w:noProof/>
          <w:sz w:val="24"/>
          <w:szCs w:val="24"/>
        </w:rPr>
        <w:t xml:space="preserve">  </w:t>
      </w:r>
      <w:r w:rsidRPr="00C64AE1">
        <w:rPr>
          <w:rFonts w:ascii="楷体" w:eastAsia="楷体" w:hAnsi="楷体" w:cs="Arial" w:hint="eastAsia"/>
          <w:sz w:val="24"/>
          <w:szCs w:val="24"/>
        </w:rPr>
        <w:t>全市场选股指数增强策略净值走势图</w:t>
      </w:r>
      <w:r w:rsidRPr="00C64AE1">
        <w:rPr>
          <w:rFonts w:ascii="楷体" w:eastAsia="楷体" w:hAnsi="楷体" w:hint="eastAsia"/>
          <w:noProof/>
          <w:sz w:val="24"/>
          <w:szCs w:val="24"/>
        </w:rPr>
        <w:tab/>
      </w:r>
      <w:r w:rsidR="00846D58" w:rsidRPr="00C64AE1">
        <w:rPr>
          <w:rFonts w:ascii="楷体" w:eastAsia="楷体" w:hAnsi="楷体"/>
          <w:noProof/>
          <w:sz w:val="24"/>
          <w:szCs w:val="24"/>
        </w:rPr>
        <w:t>1</w:t>
      </w:r>
      <w:r w:rsidR="0066516C" w:rsidRPr="00C64AE1">
        <w:rPr>
          <w:rFonts w:ascii="楷体" w:eastAsia="楷体" w:hAnsi="楷体" w:hint="eastAsia"/>
          <w:noProof/>
          <w:sz w:val="24"/>
          <w:szCs w:val="24"/>
        </w:rPr>
        <w:t>3</w:t>
      </w:r>
    </w:p>
    <w:p w:rsidR="000A7B61" w:rsidRPr="00C64AE1" w:rsidRDefault="000A7B61" w:rsidP="000A7B61">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20</w:t>
      </w:r>
      <w:r w:rsidRPr="00C64AE1">
        <w:rPr>
          <w:rFonts w:ascii="楷体" w:eastAsia="楷体" w:hAnsi="楷体" w:hint="eastAsia"/>
          <w:noProof/>
          <w:sz w:val="24"/>
          <w:szCs w:val="24"/>
        </w:rPr>
        <w:t xml:space="preserve">  </w:t>
      </w:r>
      <w:r w:rsidRPr="00C64AE1">
        <w:rPr>
          <w:rFonts w:ascii="楷体" w:eastAsia="楷体" w:hAnsi="楷体" w:cs="Arial" w:hint="eastAsia"/>
          <w:sz w:val="24"/>
          <w:szCs w:val="24"/>
        </w:rPr>
        <w:t>2018年以来上证综指与历史相似片段走势图</w:t>
      </w:r>
      <w:r w:rsidRPr="00C64AE1">
        <w:rPr>
          <w:rFonts w:ascii="楷体" w:eastAsia="楷体" w:hAnsi="楷体" w:hint="eastAsia"/>
          <w:noProof/>
          <w:sz w:val="24"/>
          <w:szCs w:val="24"/>
        </w:rPr>
        <w:tab/>
      </w:r>
      <w:r w:rsidR="00846D58" w:rsidRPr="00C64AE1">
        <w:rPr>
          <w:rFonts w:ascii="楷体" w:eastAsia="楷体" w:hAnsi="楷体"/>
          <w:noProof/>
          <w:sz w:val="24"/>
          <w:szCs w:val="24"/>
        </w:rPr>
        <w:t>1</w:t>
      </w:r>
      <w:r w:rsidR="0066516C" w:rsidRPr="00C64AE1">
        <w:rPr>
          <w:rFonts w:ascii="楷体" w:eastAsia="楷体" w:hAnsi="楷体" w:hint="eastAsia"/>
          <w:noProof/>
          <w:sz w:val="24"/>
          <w:szCs w:val="24"/>
        </w:rPr>
        <w:t>4</w:t>
      </w:r>
    </w:p>
    <w:p w:rsidR="000A7B61" w:rsidRPr="00C64AE1" w:rsidRDefault="000A7B61" w:rsidP="000A7B61">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21</w:t>
      </w:r>
      <w:r w:rsidRPr="00C64AE1">
        <w:rPr>
          <w:rFonts w:ascii="楷体" w:eastAsia="楷体" w:hAnsi="楷体" w:hint="eastAsia"/>
          <w:noProof/>
          <w:sz w:val="24"/>
          <w:szCs w:val="24"/>
        </w:rPr>
        <w:t xml:space="preserve">  </w:t>
      </w:r>
      <w:r w:rsidRPr="00C64AE1">
        <w:rPr>
          <w:rFonts w:ascii="楷体" w:eastAsia="楷体" w:hAnsi="楷体" w:cs="Arial" w:hint="eastAsia"/>
          <w:sz w:val="24"/>
          <w:szCs w:val="24"/>
        </w:rPr>
        <w:t>历史相似片段未来1-6个月的价量走势图</w:t>
      </w:r>
      <w:r w:rsidRPr="00C64AE1">
        <w:rPr>
          <w:rFonts w:ascii="楷体" w:eastAsia="楷体" w:hAnsi="楷体" w:hint="eastAsia"/>
          <w:noProof/>
          <w:sz w:val="24"/>
          <w:szCs w:val="24"/>
        </w:rPr>
        <w:tab/>
      </w:r>
      <w:r w:rsidR="00846D58" w:rsidRPr="00C64AE1">
        <w:rPr>
          <w:rFonts w:ascii="楷体" w:eastAsia="楷体" w:hAnsi="楷体"/>
          <w:noProof/>
          <w:sz w:val="24"/>
          <w:szCs w:val="24"/>
        </w:rPr>
        <w:t>1</w:t>
      </w:r>
      <w:r w:rsidR="0066516C" w:rsidRPr="00C64AE1">
        <w:rPr>
          <w:rFonts w:ascii="楷体" w:eastAsia="楷体" w:hAnsi="楷体" w:hint="eastAsia"/>
          <w:noProof/>
          <w:sz w:val="24"/>
          <w:szCs w:val="24"/>
        </w:rPr>
        <w:t>5</w:t>
      </w:r>
    </w:p>
    <w:p w:rsidR="000A7B61" w:rsidRPr="00C64AE1" w:rsidRDefault="000A7B61" w:rsidP="000A7B61">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22</w:t>
      </w:r>
      <w:r w:rsidRPr="00C64AE1">
        <w:rPr>
          <w:rFonts w:ascii="楷体" w:eastAsia="楷体" w:hAnsi="楷体" w:hint="eastAsia"/>
          <w:noProof/>
          <w:sz w:val="24"/>
          <w:szCs w:val="24"/>
        </w:rPr>
        <w:t xml:space="preserve">  上证综指多空判断及其净值趋势图</w:t>
      </w:r>
      <w:r w:rsidRPr="00C64AE1">
        <w:rPr>
          <w:rFonts w:ascii="楷体" w:eastAsia="楷体" w:hAnsi="楷体" w:hint="eastAsia"/>
          <w:noProof/>
          <w:sz w:val="24"/>
          <w:szCs w:val="24"/>
        </w:rPr>
        <w:tab/>
      </w:r>
      <w:r w:rsidR="00846D58" w:rsidRPr="00C64AE1">
        <w:rPr>
          <w:rFonts w:ascii="楷体" w:eastAsia="楷体" w:hAnsi="楷体"/>
          <w:noProof/>
          <w:sz w:val="24"/>
          <w:szCs w:val="24"/>
        </w:rPr>
        <w:t>1</w:t>
      </w:r>
      <w:r w:rsidR="0066516C" w:rsidRPr="00C64AE1">
        <w:rPr>
          <w:rFonts w:ascii="楷体" w:eastAsia="楷体" w:hAnsi="楷体" w:hint="eastAsia"/>
          <w:noProof/>
          <w:sz w:val="24"/>
          <w:szCs w:val="24"/>
        </w:rPr>
        <w:t>8</w:t>
      </w:r>
    </w:p>
    <w:p w:rsidR="000A7B61" w:rsidRPr="00C64AE1" w:rsidRDefault="000A7B61" w:rsidP="000A7B61">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23</w:t>
      </w:r>
      <w:r w:rsidRPr="00C64AE1">
        <w:rPr>
          <w:rFonts w:ascii="楷体" w:eastAsia="楷体" w:hAnsi="楷体" w:hint="eastAsia"/>
          <w:noProof/>
          <w:sz w:val="24"/>
          <w:szCs w:val="24"/>
        </w:rPr>
        <w:t xml:space="preserve">  </w:t>
      </w:r>
      <w:r w:rsidRPr="00C64AE1">
        <w:rPr>
          <w:rFonts w:ascii="楷体" w:eastAsia="楷体" w:hAnsi="楷体" w:cs="Arial" w:hint="eastAsia"/>
          <w:sz w:val="24"/>
          <w:szCs w:val="24"/>
        </w:rPr>
        <w:t>沪深300多空判断及其净值趋势图</w:t>
      </w:r>
      <w:r w:rsidRPr="00C64AE1">
        <w:rPr>
          <w:rFonts w:ascii="楷体" w:eastAsia="楷体" w:hAnsi="楷体" w:hint="eastAsia"/>
          <w:noProof/>
          <w:sz w:val="24"/>
          <w:szCs w:val="24"/>
        </w:rPr>
        <w:tab/>
      </w:r>
      <w:r w:rsidR="00846D58" w:rsidRPr="00C64AE1">
        <w:rPr>
          <w:rFonts w:ascii="楷体" w:eastAsia="楷体" w:hAnsi="楷体"/>
          <w:noProof/>
          <w:sz w:val="24"/>
          <w:szCs w:val="24"/>
        </w:rPr>
        <w:t>1</w:t>
      </w:r>
      <w:r w:rsidR="0066516C" w:rsidRPr="00C64AE1">
        <w:rPr>
          <w:rFonts w:ascii="楷体" w:eastAsia="楷体" w:hAnsi="楷体" w:hint="eastAsia"/>
          <w:noProof/>
          <w:sz w:val="24"/>
          <w:szCs w:val="24"/>
        </w:rPr>
        <w:t>8</w:t>
      </w:r>
    </w:p>
    <w:p w:rsidR="000A7B61" w:rsidRPr="00C64AE1" w:rsidRDefault="000A7B61" w:rsidP="000A7B61">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24</w:t>
      </w:r>
      <w:r w:rsidRPr="00C64AE1">
        <w:rPr>
          <w:rFonts w:ascii="楷体" w:eastAsia="楷体" w:hAnsi="楷体" w:hint="eastAsia"/>
          <w:noProof/>
          <w:sz w:val="24"/>
          <w:szCs w:val="24"/>
        </w:rPr>
        <w:t xml:space="preserve">  </w:t>
      </w:r>
      <w:r w:rsidRPr="00C64AE1">
        <w:rPr>
          <w:rFonts w:ascii="楷体" w:eastAsia="楷体" w:hAnsi="楷体" w:cs="Arial" w:hint="eastAsia"/>
          <w:sz w:val="24"/>
          <w:szCs w:val="24"/>
        </w:rPr>
        <w:t>中小板指多空判断及其净值趋势图</w:t>
      </w:r>
      <w:r w:rsidRPr="00C64AE1">
        <w:rPr>
          <w:rFonts w:ascii="楷体" w:eastAsia="楷体" w:hAnsi="楷体" w:hint="eastAsia"/>
          <w:noProof/>
          <w:sz w:val="24"/>
          <w:szCs w:val="24"/>
        </w:rPr>
        <w:tab/>
      </w:r>
      <w:r w:rsidR="00846D58" w:rsidRPr="00C64AE1">
        <w:rPr>
          <w:rFonts w:ascii="楷体" w:eastAsia="楷体" w:hAnsi="楷体"/>
          <w:noProof/>
          <w:sz w:val="24"/>
          <w:szCs w:val="24"/>
        </w:rPr>
        <w:t>1</w:t>
      </w:r>
      <w:r w:rsidR="0066516C" w:rsidRPr="00C64AE1">
        <w:rPr>
          <w:rFonts w:ascii="楷体" w:eastAsia="楷体" w:hAnsi="楷体" w:hint="eastAsia"/>
          <w:noProof/>
          <w:sz w:val="24"/>
          <w:szCs w:val="24"/>
        </w:rPr>
        <w:t>8</w:t>
      </w:r>
    </w:p>
    <w:p w:rsidR="000A7B61" w:rsidRPr="00C64AE1" w:rsidRDefault="000A7B61" w:rsidP="000A7B61">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25</w:t>
      </w:r>
      <w:r w:rsidRPr="00C64AE1">
        <w:rPr>
          <w:rFonts w:ascii="楷体" w:eastAsia="楷体" w:hAnsi="楷体" w:hint="eastAsia"/>
          <w:noProof/>
          <w:sz w:val="24"/>
          <w:szCs w:val="24"/>
        </w:rPr>
        <w:t xml:space="preserve">  </w:t>
      </w:r>
      <w:r w:rsidRPr="00C64AE1">
        <w:rPr>
          <w:rFonts w:ascii="楷体" w:eastAsia="楷体" w:hAnsi="楷体" w:cs="Arial" w:hint="eastAsia"/>
          <w:sz w:val="24"/>
          <w:szCs w:val="24"/>
        </w:rPr>
        <w:t>创业板指多空判断及其净值趋势图</w:t>
      </w:r>
      <w:r w:rsidRPr="00C64AE1">
        <w:rPr>
          <w:rFonts w:ascii="楷体" w:eastAsia="楷体" w:hAnsi="楷体" w:hint="eastAsia"/>
          <w:noProof/>
          <w:sz w:val="24"/>
          <w:szCs w:val="24"/>
        </w:rPr>
        <w:tab/>
      </w:r>
      <w:r w:rsidR="00846D58" w:rsidRPr="00C64AE1">
        <w:rPr>
          <w:rFonts w:ascii="楷体" w:eastAsia="楷体" w:hAnsi="楷体"/>
          <w:noProof/>
          <w:sz w:val="24"/>
          <w:szCs w:val="24"/>
        </w:rPr>
        <w:t>1</w:t>
      </w:r>
      <w:r w:rsidR="0066516C" w:rsidRPr="00C64AE1">
        <w:rPr>
          <w:rFonts w:ascii="楷体" w:eastAsia="楷体" w:hAnsi="楷体" w:hint="eastAsia"/>
          <w:noProof/>
          <w:sz w:val="24"/>
          <w:szCs w:val="24"/>
        </w:rPr>
        <w:t>8</w:t>
      </w:r>
    </w:p>
    <w:p w:rsidR="000A7B61" w:rsidRPr="00C64AE1" w:rsidRDefault="000A7B61" w:rsidP="000A7B61">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26</w:t>
      </w:r>
      <w:r w:rsidRPr="00C64AE1">
        <w:rPr>
          <w:rFonts w:ascii="楷体" w:eastAsia="楷体" w:hAnsi="楷体" w:hint="eastAsia"/>
          <w:noProof/>
          <w:sz w:val="24"/>
          <w:szCs w:val="24"/>
        </w:rPr>
        <w:t xml:space="preserve">  中500多空判断及其净值趋势图</w:t>
      </w:r>
      <w:r w:rsidRPr="00C64AE1">
        <w:rPr>
          <w:rFonts w:ascii="楷体" w:eastAsia="楷体" w:hAnsi="楷体" w:hint="eastAsia"/>
          <w:noProof/>
          <w:sz w:val="24"/>
          <w:szCs w:val="24"/>
        </w:rPr>
        <w:tab/>
      </w:r>
      <w:r w:rsidR="00846D58" w:rsidRPr="00C64AE1">
        <w:rPr>
          <w:rFonts w:ascii="楷体" w:eastAsia="楷体" w:hAnsi="楷体"/>
          <w:noProof/>
          <w:sz w:val="24"/>
          <w:szCs w:val="24"/>
        </w:rPr>
        <w:t>1</w:t>
      </w:r>
      <w:r w:rsidR="0066516C" w:rsidRPr="00C64AE1">
        <w:rPr>
          <w:rFonts w:ascii="楷体" w:eastAsia="楷体" w:hAnsi="楷体" w:hint="eastAsia"/>
          <w:noProof/>
          <w:sz w:val="24"/>
          <w:szCs w:val="24"/>
        </w:rPr>
        <w:t>9</w:t>
      </w:r>
    </w:p>
    <w:p w:rsidR="000A7B61" w:rsidRPr="00C64AE1" w:rsidRDefault="000A7B61" w:rsidP="000A7B61">
      <w:pPr>
        <w:pStyle w:val="af5"/>
        <w:tabs>
          <w:tab w:val="right" w:leader="dot" w:pos="10763"/>
        </w:tabs>
        <w:ind w:left="900" w:hanging="480"/>
        <w:rPr>
          <w:rFonts w:ascii="楷体" w:eastAsia="楷体" w:hAnsi="楷体" w:cstheme="minorBidi"/>
          <w:noProof/>
          <w:sz w:val="24"/>
          <w:szCs w:val="24"/>
        </w:rPr>
      </w:pPr>
      <w:r w:rsidRPr="00C64AE1">
        <w:rPr>
          <w:rFonts w:ascii="楷体" w:eastAsia="楷体" w:hAnsi="楷体" w:hint="eastAsia"/>
          <w:noProof/>
          <w:sz w:val="24"/>
          <w:szCs w:val="24"/>
        </w:rPr>
        <w:t>图</w:t>
      </w:r>
      <w:r w:rsidRPr="00C64AE1">
        <w:rPr>
          <w:rFonts w:ascii="楷体" w:eastAsia="楷体" w:hAnsi="楷体"/>
          <w:noProof/>
          <w:sz w:val="24"/>
          <w:szCs w:val="24"/>
        </w:rPr>
        <w:t>27</w:t>
      </w:r>
      <w:r w:rsidRPr="00C64AE1">
        <w:rPr>
          <w:rFonts w:ascii="楷体" w:eastAsia="楷体" w:hAnsi="楷体" w:hint="eastAsia"/>
          <w:noProof/>
          <w:sz w:val="24"/>
          <w:szCs w:val="24"/>
        </w:rPr>
        <w:t xml:space="preserve">  </w:t>
      </w:r>
      <w:r w:rsidRPr="00C64AE1">
        <w:rPr>
          <w:rFonts w:ascii="楷体" w:eastAsia="楷体" w:hAnsi="楷体" w:cs="Arial" w:hint="eastAsia"/>
          <w:sz w:val="24"/>
          <w:szCs w:val="24"/>
        </w:rPr>
        <w:t>中证1000多空判断及其净值趋势图</w:t>
      </w:r>
      <w:r w:rsidRPr="00C64AE1">
        <w:rPr>
          <w:rFonts w:ascii="楷体" w:eastAsia="楷体" w:hAnsi="楷体" w:hint="eastAsia"/>
          <w:noProof/>
          <w:sz w:val="24"/>
          <w:szCs w:val="24"/>
        </w:rPr>
        <w:tab/>
      </w:r>
      <w:r w:rsidR="00846D58" w:rsidRPr="00C64AE1">
        <w:rPr>
          <w:rFonts w:ascii="楷体" w:eastAsia="楷体" w:hAnsi="楷体"/>
          <w:noProof/>
          <w:sz w:val="24"/>
          <w:szCs w:val="24"/>
        </w:rPr>
        <w:t>1</w:t>
      </w:r>
      <w:r w:rsidR="0066516C" w:rsidRPr="00C64AE1">
        <w:rPr>
          <w:rFonts w:ascii="楷体" w:eastAsia="楷体" w:hAnsi="楷体" w:hint="eastAsia"/>
          <w:noProof/>
          <w:sz w:val="24"/>
          <w:szCs w:val="24"/>
        </w:rPr>
        <w:t>9</w:t>
      </w:r>
    </w:p>
    <w:p w:rsidR="000A7B61" w:rsidRPr="00C64AE1" w:rsidRDefault="000A7B61" w:rsidP="000A7B61"/>
    <w:p w:rsidR="004B25F2" w:rsidRPr="00C64AE1" w:rsidRDefault="00423A17" w:rsidP="004B25F2">
      <w:pPr>
        <w:rPr>
          <w:rFonts w:ascii="楷体" w:eastAsia="楷体" w:hAnsi="楷体" w:cs="Times New Roman"/>
          <w:noProof/>
          <w:szCs w:val="24"/>
        </w:rPr>
      </w:pPr>
      <w:r w:rsidRPr="00C64AE1">
        <w:rPr>
          <w:rFonts w:ascii="楷体" w:eastAsia="楷体" w:hAnsi="楷体" w:hint="eastAsia"/>
          <w:sz w:val="24"/>
          <w:szCs w:val="24"/>
        </w:rPr>
        <w:fldChar w:fldCharType="end"/>
      </w:r>
      <w:r w:rsidRPr="00C64AE1">
        <w:rPr>
          <w:rFonts w:ascii="楷体" w:eastAsia="楷体" w:hAnsi="楷体" w:cs="Times New Roman"/>
          <w:sz w:val="22"/>
          <w:szCs w:val="24"/>
        </w:rPr>
        <w:fldChar w:fldCharType="begin"/>
      </w:r>
      <w:r w:rsidR="00715799" w:rsidRPr="00C64AE1">
        <w:rPr>
          <w:rFonts w:ascii="楷体" w:eastAsia="楷体" w:hAnsi="楷体" w:cs="Times New Roman"/>
          <w:sz w:val="22"/>
          <w:szCs w:val="24"/>
        </w:rPr>
        <w:instrText xml:space="preserve"> TOC \c "表格" </w:instrText>
      </w:r>
      <w:r w:rsidRPr="00C64AE1">
        <w:rPr>
          <w:rFonts w:ascii="楷体" w:eastAsia="楷体" w:hAnsi="楷体" w:cs="Times New Roman"/>
          <w:sz w:val="22"/>
          <w:szCs w:val="24"/>
        </w:rPr>
        <w:fldChar w:fldCharType="separate"/>
      </w:r>
    </w:p>
    <w:p w:rsidR="004B25F2" w:rsidRPr="00C64AE1" w:rsidRDefault="00423A17" w:rsidP="004B25F2">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sz w:val="24"/>
          <w:szCs w:val="24"/>
        </w:rPr>
        <w:fldChar w:fldCharType="begin"/>
      </w:r>
      <w:r w:rsidR="004B25F2" w:rsidRPr="00C64AE1">
        <w:rPr>
          <w:rFonts w:ascii="楷体" w:eastAsia="楷体" w:hAnsi="楷体" w:hint="eastAsia"/>
          <w:sz w:val="24"/>
          <w:szCs w:val="24"/>
        </w:rPr>
        <w:instrText xml:space="preserve"> TOC \c "图表" </w:instrText>
      </w:r>
      <w:r w:rsidRPr="00C64AE1">
        <w:rPr>
          <w:rFonts w:ascii="楷体" w:eastAsia="楷体" w:hAnsi="楷体" w:hint="eastAsia"/>
          <w:sz w:val="24"/>
          <w:szCs w:val="24"/>
        </w:rPr>
        <w:fldChar w:fldCharType="separate"/>
      </w:r>
      <w:r w:rsidR="004B25F2" w:rsidRPr="00C64AE1">
        <w:rPr>
          <w:rFonts w:ascii="楷体" w:eastAsia="楷体" w:hAnsi="楷体" w:hint="eastAsia"/>
          <w:noProof/>
          <w:sz w:val="24"/>
          <w:szCs w:val="24"/>
        </w:rPr>
        <w:t xml:space="preserve">表1  </w:t>
      </w:r>
      <w:r w:rsidR="00D34331" w:rsidRPr="00C64AE1">
        <w:rPr>
          <w:rFonts w:ascii="楷体" w:eastAsia="楷体" w:hAnsi="楷体" w:hint="eastAsia"/>
          <w:noProof/>
          <w:sz w:val="24"/>
          <w:szCs w:val="24"/>
        </w:rPr>
        <w:t>市场主要指数2018年以来的涨跌情况</w:t>
      </w:r>
      <w:r w:rsidR="004B25F2" w:rsidRPr="00C64AE1">
        <w:rPr>
          <w:rFonts w:ascii="楷体" w:eastAsia="楷体" w:hAnsi="楷体" w:hint="eastAsia"/>
          <w:noProof/>
          <w:sz w:val="24"/>
          <w:szCs w:val="24"/>
        </w:rPr>
        <w:tab/>
        <w:t>4</w:t>
      </w:r>
    </w:p>
    <w:p w:rsidR="004B25F2" w:rsidRPr="00C64AE1" w:rsidRDefault="004B25F2" w:rsidP="004B25F2">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noProof/>
          <w:sz w:val="24"/>
          <w:szCs w:val="24"/>
        </w:rPr>
        <w:t xml:space="preserve">表2  </w:t>
      </w:r>
      <w:r w:rsidR="00D34331" w:rsidRPr="00C64AE1">
        <w:rPr>
          <w:rFonts w:ascii="楷体" w:eastAsia="楷体" w:hAnsi="楷体" w:cs="Arial" w:hint="eastAsia"/>
          <w:sz w:val="24"/>
          <w:szCs w:val="24"/>
        </w:rPr>
        <w:t>合成大类因子对冲中证500的收益表现</w:t>
      </w:r>
      <w:r w:rsidRPr="00C64AE1">
        <w:rPr>
          <w:rFonts w:ascii="楷体" w:eastAsia="楷体" w:hAnsi="楷体" w:hint="eastAsia"/>
          <w:noProof/>
          <w:sz w:val="24"/>
          <w:szCs w:val="24"/>
        </w:rPr>
        <w:tab/>
      </w:r>
      <w:r w:rsidR="00BA54F1" w:rsidRPr="00C64AE1">
        <w:rPr>
          <w:rFonts w:ascii="楷体" w:eastAsia="楷体" w:hAnsi="楷体" w:hint="eastAsia"/>
          <w:noProof/>
          <w:sz w:val="24"/>
          <w:szCs w:val="24"/>
        </w:rPr>
        <w:t>1</w:t>
      </w:r>
      <w:r w:rsidR="005B7C69" w:rsidRPr="00C64AE1">
        <w:rPr>
          <w:rFonts w:ascii="楷体" w:eastAsia="楷体" w:hAnsi="楷体" w:hint="eastAsia"/>
          <w:noProof/>
          <w:sz w:val="24"/>
          <w:szCs w:val="24"/>
        </w:rPr>
        <w:t>1</w:t>
      </w:r>
    </w:p>
    <w:p w:rsidR="004B25F2" w:rsidRPr="00C64AE1" w:rsidRDefault="00423A17" w:rsidP="004B25F2">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sz w:val="24"/>
          <w:szCs w:val="24"/>
        </w:rPr>
        <w:fldChar w:fldCharType="end"/>
      </w:r>
      <w:r w:rsidRPr="00C64AE1">
        <w:rPr>
          <w:rFonts w:ascii="楷体" w:eastAsia="楷体" w:hAnsi="楷体" w:hint="eastAsia"/>
          <w:sz w:val="24"/>
          <w:szCs w:val="24"/>
        </w:rPr>
        <w:fldChar w:fldCharType="begin"/>
      </w:r>
      <w:r w:rsidR="004B25F2" w:rsidRPr="00C64AE1">
        <w:rPr>
          <w:rFonts w:ascii="楷体" w:eastAsia="楷体" w:hAnsi="楷体" w:hint="eastAsia"/>
          <w:sz w:val="24"/>
          <w:szCs w:val="24"/>
        </w:rPr>
        <w:instrText xml:space="preserve"> TOC \c "图表" </w:instrText>
      </w:r>
      <w:r w:rsidRPr="00C64AE1">
        <w:rPr>
          <w:rFonts w:ascii="楷体" w:eastAsia="楷体" w:hAnsi="楷体" w:hint="eastAsia"/>
          <w:sz w:val="24"/>
          <w:szCs w:val="24"/>
        </w:rPr>
        <w:fldChar w:fldCharType="separate"/>
      </w:r>
      <w:r w:rsidR="004B25F2" w:rsidRPr="00C64AE1">
        <w:rPr>
          <w:rFonts w:ascii="楷体" w:eastAsia="楷体" w:hAnsi="楷体" w:hint="eastAsia"/>
          <w:noProof/>
          <w:sz w:val="24"/>
          <w:szCs w:val="24"/>
        </w:rPr>
        <w:t xml:space="preserve">表3  </w:t>
      </w:r>
      <w:r w:rsidR="00BA54F1" w:rsidRPr="00C64AE1">
        <w:rPr>
          <w:rFonts w:ascii="楷体" w:eastAsia="楷体" w:hAnsi="楷体" w:hint="eastAsia"/>
          <w:noProof/>
          <w:sz w:val="24"/>
          <w:szCs w:val="24"/>
        </w:rPr>
        <w:t>2018年各月份择时系统重点推荐行业及其业绩表现</w:t>
      </w:r>
      <w:r w:rsidR="004B25F2" w:rsidRPr="00C64AE1">
        <w:rPr>
          <w:rFonts w:ascii="楷体" w:eastAsia="楷体" w:hAnsi="楷体" w:hint="eastAsia"/>
          <w:noProof/>
          <w:sz w:val="24"/>
          <w:szCs w:val="24"/>
        </w:rPr>
        <w:tab/>
      </w:r>
      <w:r w:rsidR="00BA54F1" w:rsidRPr="00C64AE1">
        <w:rPr>
          <w:rFonts w:ascii="楷体" w:eastAsia="楷体" w:hAnsi="楷体" w:hint="eastAsia"/>
          <w:noProof/>
          <w:sz w:val="24"/>
          <w:szCs w:val="24"/>
        </w:rPr>
        <w:t>12</w:t>
      </w:r>
    </w:p>
    <w:p w:rsidR="004B25F2" w:rsidRPr="00C64AE1" w:rsidRDefault="004B25F2" w:rsidP="004B25F2">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noProof/>
          <w:sz w:val="24"/>
          <w:szCs w:val="24"/>
        </w:rPr>
        <w:t xml:space="preserve">表4  </w:t>
      </w:r>
      <w:r w:rsidR="00BA54F1" w:rsidRPr="00C64AE1">
        <w:rPr>
          <w:rFonts w:ascii="楷体" w:eastAsia="楷体" w:hAnsi="楷体" w:cs="Arial" w:hint="eastAsia"/>
          <w:sz w:val="24"/>
          <w:szCs w:val="24"/>
        </w:rPr>
        <w:t>历史下跌区间起始时间及相关特征分析</w:t>
      </w:r>
      <w:r w:rsidRPr="00C64AE1">
        <w:rPr>
          <w:rFonts w:ascii="楷体" w:eastAsia="楷体" w:hAnsi="楷体" w:hint="eastAsia"/>
          <w:noProof/>
          <w:sz w:val="24"/>
          <w:szCs w:val="24"/>
        </w:rPr>
        <w:tab/>
      </w:r>
      <w:r w:rsidR="00BA54F1" w:rsidRPr="00C64AE1">
        <w:rPr>
          <w:rFonts w:ascii="楷体" w:eastAsia="楷体" w:hAnsi="楷体" w:hint="eastAsia"/>
          <w:noProof/>
          <w:sz w:val="24"/>
          <w:szCs w:val="24"/>
        </w:rPr>
        <w:t>13</w:t>
      </w:r>
    </w:p>
    <w:p w:rsidR="00BA54F1" w:rsidRPr="00C64AE1" w:rsidRDefault="00423A17" w:rsidP="00BA54F1">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sz w:val="24"/>
          <w:szCs w:val="24"/>
        </w:rPr>
        <w:fldChar w:fldCharType="end"/>
      </w:r>
      <w:r w:rsidRPr="00C64AE1">
        <w:rPr>
          <w:rFonts w:ascii="楷体" w:eastAsia="楷体" w:hAnsi="楷体"/>
          <w:sz w:val="22"/>
          <w:szCs w:val="24"/>
        </w:rPr>
        <w:fldChar w:fldCharType="end"/>
      </w:r>
      <w:r w:rsidRPr="00C64AE1">
        <w:rPr>
          <w:rFonts w:ascii="楷体" w:eastAsia="楷体" w:hAnsi="楷体" w:hint="eastAsia"/>
          <w:sz w:val="24"/>
          <w:szCs w:val="24"/>
        </w:rPr>
        <w:fldChar w:fldCharType="begin"/>
      </w:r>
      <w:r w:rsidR="00BA54F1" w:rsidRPr="00C64AE1">
        <w:rPr>
          <w:rFonts w:ascii="楷体" w:eastAsia="楷体" w:hAnsi="楷体" w:hint="eastAsia"/>
          <w:sz w:val="24"/>
          <w:szCs w:val="24"/>
        </w:rPr>
        <w:instrText xml:space="preserve"> TOC \c "图表" </w:instrText>
      </w:r>
      <w:r w:rsidRPr="00C64AE1">
        <w:rPr>
          <w:rFonts w:ascii="楷体" w:eastAsia="楷体" w:hAnsi="楷体" w:hint="eastAsia"/>
          <w:sz w:val="24"/>
          <w:szCs w:val="24"/>
        </w:rPr>
        <w:fldChar w:fldCharType="separate"/>
      </w:r>
      <w:r w:rsidR="00BA54F1" w:rsidRPr="00C64AE1">
        <w:rPr>
          <w:rFonts w:ascii="楷体" w:eastAsia="楷体" w:hAnsi="楷体" w:hint="eastAsia"/>
          <w:noProof/>
          <w:sz w:val="24"/>
          <w:szCs w:val="24"/>
        </w:rPr>
        <w:t>表5  相似片段未来1、3与6个月的涨跌幅</w:t>
      </w:r>
      <w:r w:rsidR="00BA54F1" w:rsidRPr="00C64AE1">
        <w:rPr>
          <w:rFonts w:ascii="楷体" w:eastAsia="楷体" w:hAnsi="楷体" w:hint="eastAsia"/>
          <w:noProof/>
          <w:sz w:val="24"/>
          <w:szCs w:val="24"/>
        </w:rPr>
        <w:tab/>
        <w:t>1</w:t>
      </w:r>
      <w:r w:rsidR="005B7C69" w:rsidRPr="00C64AE1">
        <w:rPr>
          <w:rFonts w:ascii="楷体" w:eastAsia="楷体" w:hAnsi="楷体" w:hint="eastAsia"/>
          <w:noProof/>
          <w:sz w:val="24"/>
          <w:szCs w:val="24"/>
        </w:rPr>
        <w:t>4</w:t>
      </w:r>
    </w:p>
    <w:p w:rsidR="00BA54F1" w:rsidRPr="00C64AE1" w:rsidRDefault="00BA54F1" w:rsidP="00BA54F1">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noProof/>
          <w:sz w:val="24"/>
          <w:szCs w:val="24"/>
        </w:rPr>
        <w:t xml:space="preserve">表6  </w:t>
      </w:r>
      <w:r w:rsidRPr="00C64AE1">
        <w:rPr>
          <w:rFonts w:ascii="楷体" w:eastAsia="楷体" w:hAnsi="楷体" w:cs="Arial" w:hint="eastAsia"/>
          <w:sz w:val="24"/>
          <w:szCs w:val="24"/>
        </w:rPr>
        <w:t>合成大类因子各下跌区间对冲中证500收益</w:t>
      </w:r>
      <w:r w:rsidRPr="00C64AE1">
        <w:rPr>
          <w:rFonts w:ascii="楷体" w:eastAsia="楷体" w:hAnsi="楷体" w:hint="eastAsia"/>
          <w:noProof/>
          <w:sz w:val="24"/>
          <w:szCs w:val="24"/>
        </w:rPr>
        <w:tab/>
        <w:t>1</w:t>
      </w:r>
      <w:r w:rsidR="005B7C69" w:rsidRPr="00C64AE1">
        <w:rPr>
          <w:rFonts w:ascii="楷体" w:eastAsia="楷体" w:hAnsi="楷体" w:hint="eastAsia"/>
          <w:noProof/>
          <w:sz w:val="24"/>
          <w:szCs w:val="24"/>
        </w:rPr>
        <w:t>6</w:t>
      </w:r>
    </w:p>
    <w:p w:rsidR="00BA54F1" w:rsidRPr="00C64AE1" w:rsidRDefault="00423A17" w:rsidP="00BA54F1">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sz w:val="24"/>
          <w:szCs w:val="24"/>
        </w:rPr>
        <w:fldChar w:fldCharType="end"/>
      </w:r>
      <w:r w:rsidRPr="00423A17">
        <w:rPr>
          <w:rFonts w:ascii="楷体" w:eastAsia="楷体" w:hAnsi="楷体" w:hint="eastAsia"/>
          <w:sz w:val="24"/>
          <w:szCs w:val="24"/>
        </w:rPr>
        <w:fldChar w:fldCharType="begin"/>
      </w:r>
      <w:r w:rsidR="00BA54F1" w:rsidRPr="00C64AE1">
        <w:rPr>
          <w:rFonts w:ascii="楷体" w:eastAsia="楷体" w:hAnsi="楷体" w:hint="eastAsia"/>
          <w:sz w:val="24"/>
          <w:szCs w:val="24"/>
        </w:rPr>
        <w:instrText xml:space="preserve"> TOC \c "图表" </w:instrText>
      </w:r>
      <w:r w:rsidRPr="00423A17">
        <w:rPr>
          <w:rFonts w:ascii="楷体" w:eastAsia="楷体" w:hAnsi="楷体" w:hint="eastAsia"/>
          <w:sz w:val="24"/>
          <w:szCs w:val="24"/>
        </w:rPr>
        <w:fldChar w:fldCharType="separate"/>
      </w:r>
      <w:r w:rsidR="00BA54F1" w:rsidRPr="00C64AE1">
        <w:rPr>
          <w:rFonts w:ascii="楷体" w:eastAsia="楷体" w:hAnsi="楷体" w:hint="eastAsia"/>
          <w:noProof/>
          <w:sz w:val="24"/>
          <w:szCs w:val="24"/>
        </w:rPr>
        <w:t>表7  合成大类因子各下跌区间多空收益</w:t>
      </w:r>
      <w:r w:rsidR="00BA54F1" w:rsidRPr="00C64AE1">
        <w:rPr>
          <w:rFonts w:ascii="楷体" w:eastAsia="楷体" w:hAnsi="楷体" w:hint="eastAsia"/>
          <w:noProof/>
          <w:sz w:val="24"/>
          <w:szCs w:val="24"/>
        </w:rPr>
        <w:tab/>
        <w:t>1</w:t>
      </w:r>
      <w:r w:rsidR="005B7C69" w:rsidRPr="00C64AE1">
        <w:rPr>
          <w:rFonts w:ascii="楷体" w:eastAsia="楷体" w:hAnsi="楷体" w:hint="eastAsia"/>
          <w:noProof/>
          <w:sz w:val="24"/>
          <w:szCs w:val="24"/>
        </w:rPr>
        <w:t>6</w:t>
      </w:r>
    </w:p>
    <w:p w:rsidR="00BA54F1" w:rsidRPr="00C64AE1" w:rsidRDefault="00BA54F1" w:rsidP="00BA54F1">
      <w:pPr>
        <w:pStyle w:val="af5"/>
        <w:tabs>
          <w:tab w:val="right" w:leader="dot" w:pos="10763"/>
        </w:tabs>
        <w:ind w:left="900" w:hanging="480"/>
        <w:rPr>
          <w:rFonts w:ascii="楷体" w:eastAsia="楷体" w:hAnsi="楷体"/>
          <w:noProof/>
          <w:sz w:val="24"/>
          <w:szCs w:val="24"/>
        </w:rPr>
      </w:pPr>
      <w:r w:rsidRPr="00C64AE1">
        <w:rPr>
          <w:rFonts w:ascii="楷体" w:eastAsia="楷体" w:hAnsi="楷体" w:hint="eastAsia"/>
          <w:noProof/>
          <w:sz w:val="24"/>
          <w:szCs w:val="24"/>
        </w:rPr>
        <w:t xml:space="preserve">表8  </w:t>
      </w:r>
      <w:r w:rsidRPr="00C64AE1">
        <w:rPr>
          <w:rFonts w:ascii="楷体" w:eastAsia="楷体" w:hAnsi="楷体" w:cs="Arial" w:hint="eastAsia"/>
          <w:sz w:val="24"/>
          <w:szCs w:val="24"/>
        </w:rPr>
        <w:t>择时模型对市场主要指数多空判断</w:t>
      </w:r>
      <w:r w:rsidRPr="00C64AE1">
        <w:rPr>
          <w:rFonts w:ascii="楷体" w:eastAsia="楷体" w:hAnsi="楷体" w:hint="eastAsia"/>
          <w:noProof/>
          <w:sz w:val="24"/>
          <w:szCs w:val="24"/>
        </w:rPr>
        <w:tab/>
        <w:t>1</w:t>
      </w:r>
      <w:r w:rsidR="005B7C69" w:rsidRPr="00C64AE1">
        <w:rPr>
          <w:rFonts w:ascii="楷体" w:eastAsia="楷体" w:hAnsi="楷体" w:hint="eastAsia"/>
          <w:noProof/>
          <w:sz w:val="24"/>
          <w:szCs w:val="24"/>
        </w:rPr>
        <w:t>8</w:t>
      </w:r>
    </w:p>
    <w:p w:rsidR="00BA54F1" w:rsidRPr="00C64AE1" w:rsidRDefault="00423A17" w:rsidP="00BA54F1">
      <w:pPr>
        <w:rPr>
          <w:rFonts w:ascii="楷体" w:eastAsia="楷体" w:hAnsi="楷体" w:cs="Times New Roman"/>
          <w:sz w:val="22"/>
          <w:szCs w:val="24"/>
        </w:rPr>
      </w:pPr>
      <w:r w:rsidRPr="00C64AE1">
        <w:rPr>
          <w:rFonts w:ascii="楷体" w:eastAsia="楷体" w:hAnsi="楷体" w:hint="eastAsia"/>
          <w:sz w:val="24"/>
          <w:szCs w:val="24"/>
        </w:rPr>
        <w:fldChar w:fldCharType="end"/>
      </w:r>
    </w:p>
    <w:p w:rsidR="00BA54F1" w:rsidRPr="00C64AE1" w:rsidRDefault="00BA54F1" w:rsidP="004B25F2">
      <w:pPr>
        <w:rPr>
          <w:rFonts w:ascii="楷体" w:hAnsi="楷体" w:cs="Times New Roman"/>
          <w:sz w:val="22"/>
          <w:szCs w:val="24"/>
        </w:rPr>
      </w:pPr>
    </w:p>
    <w:p w:rsidR="00715799" w:rsidRPr="00C64AE1" w:rsidRDefault="00715799" w:rsidP="00715799">
      <w:pPr>
        <w:tabs>
          <w:tab w:val="right" w:leader="dot" w:pos="8296"/>
        </w:tabs>
        <w:ind w:leftChars="200" w:left="420" w:firstLineChars="2" w:firstLine="4"/>
        <w:rPr>
          <w:rFonts w:ascii="楷体" w:eastAsia="楷体" w:hAnsi="楷体" w:cs="Arial"/>
          <w:szCs w:val="21"/>
        </w:rPr>
      </w:pPr>
      <w:r w:rsidRPr="00C64AE1">
        <w:rPr>
          <w:rFonts w:ascii="楷体" w:eastAsia="楷体" w:hAnsi="楷体" w:cs="Times New Roman" w:hint="eastAsia"/>
          <w:noProof/>
          <w:kern w:val="0"/>
          <w:szCs w:val="21"/>
          <w:u w:val="single"/>
        </w:rPr>
        <w:t>（本报告共有图</w:t>
      </w:r>
      <w:r w:rsidR="00BA54F1" w:rsidRPr="00C64AE1">
        <w:rPr>
          <w:rFonts w:ascii="楷体" w:eastAsia="楷体" w:hAnsi="楷体" w:cs="Times New Roman" w:hint="eastAsia"/>
          <w:noProof/>
          <w:kern w:val="0"/>
          <w:szCs w:val="21"/>
          <w:u w:val="single"/>
        </w:rPr>
        <w:t>27</w:t>
      </w:r>
      <w:r w:rsidRPr="00C64AE1">
        <w:rPr>
          <w:rFonts w:ascii="楷体" w:eastAsia="楷体" w:hAnsi="楷体" w:cs="Times New Roman" w:hint="eastAsia"/>
          <w:noProof/>
          <w:kern w:val="0"/>
          <w:szCs w:val="21"/>
          <w:u w:val="single"/>
        </w:rPr>
        <w:t>张，表</w:t>
      </w:r>
      <w:r w:rsidR="00BA54F1" w:rsidRPr="00C64AE1">
        <w:rPr>
          <w:rFonts w:ascii="楷体" w:eastAsia="楷体" w:hAnsi="楷体" w:cs="Times New Roman" w:hint="eastAsia"/>
          <w:noProof/>
          <w:kern w:val="0"/>
          <w:szCs w:val="21"/>
          <w:u w:val="single"/>
        </w:rPr>
        <w:t>8</w:t>
      </w:r>
      <w:r w:rsidRPr="00C64AE1">
        <w:rPr>
          <w:rFonts w:ascii="楷体" w:eastAsia="楷体" w:hAnsi="楷体" w:cs="Times New Roman" w:hint="eastAsia"/>
          <w:noProof/>
          <w:kern w:val="0"/>
          <w:szCs w:val="21"/>
          <w:u w:val="single"/>
        </w:rPr>
        <w:t>张）</w:t>
      </w:r>
    </w:p>
    <w:p w:rsidR="00715799" w:rsidRPr="00C64AE1" w:rsidRDefault="00715799" w:rsidP="00715799">
      <w:pPr>
        <w:rPr>
          <w:rFonts w:ascii="楷体" w:eastAsia="楷体" w:hAnsi="楷体" w:cs="Times New Roman"/>
          <w:sz w:val="22"/>
          <w:szCs w:val="24"/>
        </w:rPr>
      </w:pPr>
    </w:p>
    <w:p w:rsidR="00715799" w:rsidRPr="00C64AE1" w:rsidRDefault="00715799" w:rsidP="00715799">
      <w:pPr>
        <w:rPr>
          <w:rFonts w:ascii="楷体" w:eastAsia="楷体" w:hAnsi="楷体" w:cs="Times New Roman"/>
          <w:sz w:val="22"/>
          <w:szCs w:val="24"/>
        </w:rPr>
        <w:sectPr w:rsidR="00715799" w:rsidRPr="00C64AE1" w:rsidSect="00FE0EF8">
          <w:headerReference w:type="default" r:id="rId13"/>
          <w:footerReference w:type="even" r:id="rId14"/>
          <w:footerReference w:type="default" r:id="rId15"/>
          <w:headerReference w:type="first" r:id="rId16"/>
          <w:footerReference w:type="first" r:id="rId17"/>
          <w:pgSz w:w="11906" w:h="16838" w:code="9"/>
          <w:pgMar w:top="284" w:right="849" w:bottom="284" w:left="284" w:header="851" w:footer="284" w:gutter="0"/>
          <w:cols w:space="425"/>
          <w:docGrid w:type="lines" w:linePitch="312"/>
        </w:sectPr>
      </w:pPr>
    </w:p>
    <w:p w:rsidR="00715799" w:rsidRPr="00C64AE1" w:rsidRDefault="00B34C35" w:rsidP="00446770">
      <w:pPr>
        <w:widowControl/>
        <w:spacing w:beforeLines="50" w:line="360" w:lineRule="auto"/>
        <w:ind w:leftChars="1200" w:left="2821" w:hangingChars="100" w:hanging="301"/>
        <w:outlineLvl w:val="0"/>
        <w:rPr>
          <w:rFonts w:ascii="楷体" w:eastAsia="楷体" w:hAnsi="楷体" w:cs="Times New Roman"/>
          <w:b/>
          <w:sz w:val="30"/>
        </w:rPr>
      </w:pPr>
      <w:bookmarkStart w:id="0" w:name="_Toc277704122"/>
      <w:bookmarkStart w:id="1" w:name="_Toc338666016"/>
      <w:bookmarkStart w:id="2" w:name="_Toc531856897"/>
      <w:r w:rsidRPr="00C64AE1">
        <w:rPr>
          <w:rFonts w:ascii="楷体" w:eastAsia="楷体" w:hAnsi="楷体" w:cs="Times New Roman" w:hint="eastAsia"/>
          <w:b/>
          <w:sz w:val="30"/>
        </w:rPr>
        <w:lastRenderedPageBreak/>
        <w:t>1、</w:t>
      </w:r>
      <w:r w:rsidR="00DF3C68" w:rsidRPr="00C64AE1">
        <w:rPr>
          <w:rFonts w:ascii="楷体" w:eastAsia="楷体" w:hAnsi="楷体" w:cs="Times New Roman" w:hint="eastAsia"/>
          <w:b/>
          <w:sz w:val="30"/>
        </w:rPr>
        <w:t>市场</w:t>
      </w:r>
      <w:r w:rsidRPr="00C64AE1">
        <w:rPr>
          <w:rFonts w:ascii="楷体" w:eastAsia="楷体" w:hAnsi="楷体" w:cs="Times New Roman" w:hint="eastAsia"/>
          <w:b/>
          <w:sz w:val="30"/>
        </w:rPr>
        <w:t>回顾</w:t>
      </w:r>
      <w:bookmarkEnd w:id="0"/>
      <w:bookmarkEnd w:id="1"/>
      <w:r w:rsidR="00DF3C68" w:rsidRPr="00C64AE1">
        <w:rPr>
          <w:rFonts w:ascii="楷体" w:eastAsia="楷体" w:hAnsi="楷体" w:cs="Times New Roman" w:hint="eastAsia"/>
          <w:b/>
          <w:sz w:val="30"/>
        </w:rPr>
        <w:t>与规律剖析</w:t>
      </w:r>
      <w:bookmarkEnd w:id="2"/>
    </w:p>
    <w:p w:rsidR="00715799" w:rsidRPr="00C64AE1" w:rsidRDefault="0023601A" w:rsidP="00446770">
      <w:pPr>
        <w:widowControl/>
        <w:numPr>
          <w:ilvl w:val="1"/>
          <w:numId w:val="0"/>
        </w:numPr>
        <w:spacing w:afterLines="50" w:line="360" w:lineRule="auto"/>
        <w:ind w:leftChars="1200" w:left="3026" w:hangingChars="180" w:hanging="506"/>
        <w:outlineLvl w:val="1"/>
        <w:rPr>
          <w:rFonts w:ascii="楷体" w:eastAsia="楷体" w:hAnsi="楷体" w:cs="Times New Roman"/>
          <w:b/>
          <w:sz w:val="28"/>
        </w:rPr>
      </w:pPr>
      <w:bookmarkStart w:id="3" w:name="_Toc531856898"/>
      <w:r w:rsidRPr="00C64AE1">
        <w:rPr>
          <w:rFonts w:ascii="楷体" w:eastAsia="楷体" w:hAnsi="楷体" w:cs="Times New Roman" w:hint="eastAsia"/>
          <w:b/>
          <w:sz w:val="28"/>
        </w:rPr>
        <w:t>1</w:t>
      </w:r>
      <w:r w:rsidRPr="00C64AE1">
        <w:rPr>
          <w:rFonts w:ascii="楷体" w:eastAsia="楷体" w:hAnsi="楷体" w:cs="Times New Roman"/>
          <w:b/>
          <w:sz w:val="28"/>
        </w:rPr>
        <w:t xml:space="preserve">.1 </w:t>
      </w:r>
      <w:r w:rsidRPr="00C64AE1">
        <w:rPr>
          <w:rFonts w:ascii="楷体" w:eastAsia="楷体" w:hAnsi="楷体" w:cs="Times New Roman" w:hint="eastAsia"/>
          <w:b/>
          <w:sz w:val="28"/>
        </w:rPr>
        <w:t>沪深指数</w:t>
      </w:r>
      <w:r w:rsidR="007C60C4" w:rsidRPr="00C64AE1">
        <w:rPr>
          <w:rFonts w:ascii="楷体" w:eastAsia="楷体" w:hAnsi="楷体" w:cs="Times New Roman" w:hint="eastAsia"/>
          <w:b/>
          <w:sz w:val="28"/>
        </w:rPr>
        <w:t>趋势性</w:t>
      </w:r>
      <w:r w:rsidR="003C4F84" w:rsidRPr="00C64AE1">
        <w:rPr>
          <w:rFonts w:ascii="楷体" w:eastAsia="楷体" w:hAnsi="楷体" w:cs="Times New Roman" w:hint="eastAsia"/>
          <w:b/>
          <w:sz w:val="28"/>
        </w:rPr>
        <w:t>震荡</w:t>
      </w:r>
      <w:r w:rsidR="007C60C4" w:rsidRPr="00C64AE1">
        <w:rPr>
          <w:rFonts w:ascii="楷体" w:eastAsia="楷体" w:hAnsi="楷体" w:cs="Times New Roman" w:hint="eastAsia"/>
          <w:b/>
          <w:sz w:val="28"/>
        </w:rPr>
        <w:t>下行</w:t>
      </w:r>
      <w:r w:rsidR="003C4F84" w:rsidRPr="00C64AE1">
        <w:rPr>
          <w:rFonts w:ascii="楷体" w:eastAsia="楷体" w:hAnsi="楷体" w:cs="Times New Roman" w:hint="eastAsia"/>
          <w:b/>
          <w:sz w:val="28"/>
        </w:rPr>
        <w:t>，跌幅超20%</w:t>
      </w:r>
      <w:bookmarkEnd w:id="3"/>
      <w:r w:rsidR="003C4F84" w:rsidRPr="00C64AE1">
        <w:rPr>
          <w:rFonts w:ascii="楷体" w:eastAsia="楷体" w:hAnsi="楷体" w:cs="Times New Roman"/>
          <w:b/>
          <w:sz w:val="28"/>
        </w:rPr>
        <w:t xml:space="preserve"> </w:t>
      </w:r>
    </w:p>
    <w:p w:rsidR="00637E0A" w:rsidRPr="00C64AE1" w:rsidRDefault="00556075" w:rsidP="00446770">
      <w:pPr>
        <w:widowControl/>
        <w:spacing w:beforeLines="50" w:afterLines="50" w:line="312" w:lineRule="auto"/>
        <w:ind w:leftChars="1200" w:left="2520" w:firstLineChars="200" w:firstLine="422"/>
        <w:rPr>
          <w:rFonts w:ascii="楷体" w:eastAsia="楷体" w:hAnsi="楷体" w:cs="Times New Roman"/>
        </w:rPr>
      </w:pPr>
      <w:r w:rsidRPr="00C64AE1">
        <w:rPr>
          <w:rFonts w:ascii="楷体" w:eastAsia="楷体" w:hAnsi="楷体" w:cs="Times New Roman" w:hint="eastAsia"/>
          <w:b/>
        </w:rPr>
        <w:t>2</w:t>
      </w:r>
      <w:r w:rsidRPr="00C64AE1">
        <w:rPr>
          <w:rFonts w:ascii="楷体" w:eastAsia="楷体" w:hAnsi="楷体" w:cs="Times New Roman"/>
          <w:b/>
        </w:rPr>
        <w:t>018</w:t>
      </w:r>
      <w:r w:rsidRPr="00C64AE1">
        <w:rPr>
          <w:rFonts w:ascii="楷体" w:eastAsia="楷体" w:hAnsi="楷体" w:cs="Times New Roman" w:hint="eastAsia"/>
          <w:b/>
        </w:rPr>
        <w:t>年</w:t>
      </w:r>
      <w:r w:rsidR="00490FC4" w:rsidRPr="00C64AE1">
        <w:rPr>
          <w:rFonts w:ascii="楷体" w:eastAsia="楷体" w:hAnsi="楷体" w:cs="Times New Roman" w:hint="eastAsia"/>
          <w:b/>
        </w:rPr>
        <w:t>沪深两市</w:t>
      </w:r>
      <w:r w:rsidR="006F322F" w:rsidRPr="00C64AE1">
        <w:rPr>
          <w:rFonts w:ascii="楷体" w:eastAsia="楷体" w:hAnsi="楷体" w:cs="Times New Roman" w:hint="eastAsia"/>
          <w:b/>
        </w:rPr>
        <w:t>主要</w:t>
      </w:r>
      <w:r w:rsidR="007C0D6D" w:rsidRPr="00C64AE1">
        <w:rPr>
          <w:rFonts w:ascii="楷体" w:eastAsia="楷体" w:hAnsi="楷体" w:cs="Times New Roman" w:hint="eastAsia"/>
          <w:b/>
        </w:rPr>
        <w:t>股指全面下跌</w:t>
      </w:r>
      <w:r w:rsidR="00490FC4" w:rsidRPr="00C64AE1">
        <w:rPr>
          <w:rFonts w:ascii="楷体" w:eastAsia="楷体" w:hAnsi="楷体" w:cs="Times New Roman" w:hint="eastAsia"/>
          <w:b/>
        </w:rPr>
        <w:t>。</w:t>
      </w:r>
      <w:r w:rsidR="007C0D6D" w:rsidRPr="00C64AE1">
        <w:rPr>
          <w:rFonts w:ascii="楷体" w:eastAsia="楷体" w:hAnsi="楷体" w:cs="Times New Roman" w:hint="eastAsia"/>
        </w:rPr>
        <w:t>截</w:t>
      </w:r>
      <w:r w:rsidR="00D41DFA" w:rsidRPr="00C64AE1">
        <w:rPr>
          <w:rFonts w:ascii="楷体" w:eastAsia="楷体" w:hAnsi="楷体" w:cs="Times New Roman" w:hint="eastAsia"/>
        </w:rPr>
        <w:t>至</w:t>
      </w:r>
      <w:r w:rsidR="007C0D6D" w:rsidRPr="00C64AE1">
        <w:rPr>
          <w:rFonts w:ascii="楷体" w:eastAsia="楷体" w:hAnsi="楷体" w:cs="Times New Roman" w:hint="eastAsia"/>
        </w:rPr>
        <w:t>撰稿日</w:t>
      </w:r>
      <w:r w:rsidR="00490FC4" w:rsidRPr="00C64AE1">
        <w:rPr>
          <w:rFonts w:ascii="楷体" w:eastAsia="楷体" w:hAnsi="楷体" w:cs="Times New Roman" w:hint="eastAsia"/>
        </w:rPr>
        <w:t>（2</w:t>
      </w:r>
      <w:r w:rsidR="00490FC4" w:rsidRPr="00C64AE1">
        <w:rPr>
          <w:rFonts w:ascii="楷体" w:eastAsia="楷体" w:hAnsi="楷体" w:cs="Times New Roman"/>
        </w:rPr>
        <w:t>018</w:t>
      </w:r>
      <w:r w:rsidR="00490FC4" w:rsidRPr="00C64AE1">
        <w:rPr>
          <w:rFonts w:ascii="楷体" w:eastAsia="楷体" w:hAnsi="楷体" w:cs="Times New Roman" w:hint="eastAsia"/>
        </w:rPr>
        <w:t>年1</w:t>
      </w:r>
      <w:r w:rsidR="00490FC4" w:rsidRPr="00C64AE1">
        <w:rPr>
          <w:rFonts w:ascii="楷体" w:eastAsia="楷体" w:hAnsi="楷体" w:cs="Times New Roman"/>
        </w:rPr>
        <w:t>1</w:t>
      </w:r>
      <w:r w:rsidR="00490FC4" w:rsidRPr="00C64AE1">
        <w:rPr>
          <w:rFonts w:ascii="楷体" w:eastAsia="楷体" w:hAnsi="楷体" w:cs="Times New Roman" w:hint="eastAsia"/>
        </w:rPr>
        <w:t>月</w:t>
      </w:r>
      <w:r w:rsidR="00E30D0B" w:rsidRPr="00C64AE1">
        <w:rPr>
          <w:rFonts w:ascii="楷体" w:eastAsia="楷体" w:hAnsi="楷体" w:cs="Times New Roman" w:hint="eastAsia"/>
        </w:rPr>
        <w:t>30</w:t>
      </w:r>
      <w:r w:rsidR="00490FC4" w:rsidRPr="00C64AE1">
        <w:rPr>
          <w:rFonts w:ascii="楷体" w:eastAsia="楷体" w:hAnsi="楷体" w:cs="Times New Roman" w:hint="eastAsia"/>
        </w:rPr>
        <w:t>日）</w:t>
      </w:r>
      <w:r w:rsidR="007C0D6D" w:rsidRPr="00C64AE1">
        <w:rPr>
          <w:rFonts w:ascii="楷体" w:eastAsia="楷体" w:hAnsi="楷体" w:cs="Times New Roman" w:hint="eastAsia"/>
        </w:rPr>
        <w:t>，</w:t>
      </w:r>
      <w:r w:rsidR="00490FC4" w:rsidRPr="00C64AE1">
        <w:rPr>
          <w:rFonts w:ascii="楷体" w:eastAsia="楷体" w:hAnsi="楷体" w:cs="Times New Roman" w:hint="eastAsia"/>
        </w:rPr>
        <w:t>上证综指、沪深3</w:t>
      </w:r>
      <w:r w:rsidR="00490FC4" w:rsidRPr="00C64AE1">
        <w:rPr>
          <w:rFonts w:ascii="楷体" w:eastAsia="楷体" w:hAnsi="楷体" w:cs="Times New Roman"/>
        </w:rPr>
        <w:t>00</w:t>
      </w:r>
      <w:r w:rsidR="00490FC4" w:rsidRPr="00C64AE1">
        <w:rPr>
          <w:rFonts w:ascii="楷体" w:eastAsia="楷体" w:hAnsi="楷体" w:cs="Times New Roman" w:hint="eastAsia"/>
        </w:rPr>
        <w:t>、中小板指、创业板指以及中证5</w:t>
      </w:r>
      <w:r w:rsidR="00490FC4" w:rsidRPr="00C64AE1">
        <w:rPr>
          <w:rFonts w:ascii="楷体" w:eastAsia="楷体" w:hAnsi="楷体" w:cs="Times New Roman"/>
        </w:rPr>
        <w:t>00</w:t>
      </w:r>
      <w:r w:rsidR="00490FC4" w:rsidRPr="00C64AE1">
        <w:rPr>
          <w:rFonts w:ascii="楷体" w:eastAsia="楷体" w:hAnsi="楷体" w:cs="Times New Roman" w:hint="eastAsia"/>
        </w:rPr>
        <w:t>指数下跌幅度均超2</w:t>
      </w:r>
      <w:r w:rsidR="00490FC4" w:rsidRPr="00C64AE1">
        <w:rPr>
          <w:rFonts w:ascii="楷体" w:eastAsia="楷体" w:hAnsi="楷体" w:cs="Times New Roman"/>
        </w:rPr>
        <w:t>0%</w:t>
      </w:r>
      <w:r w:rsidR="00490FC4" w:rsidRPr="00C64AE1">
        <w:rPr>
          <w:rFonts w:ascii="楷体" w:eastAsia="楷体" w:hAnsi="楷体" w:cs="Times New Roman" w:hint="eastAsia"/>
        </w:rPr>
        <w:t>，</w:t>
      </w:r>
      <w:r w:rsidR="00366B35" w:rsidRPr="00C64AE1">
        <w:rPr>
          <w:rFonts w:ascii="楷体" w:eastAsia="楷体" w:hAnsi="楷体" w:cs="Times New Roman" w:hint="eastAsia"/>
        </w:rPr>
        <w:t>最大下跌幅度均超30%。</w:t>
      </w:r>
      <w:r w:rsidR="00B65DFE" w:rsidRPr="00C64AE1">
        <w:rPr>
          <w:rFonts w:ascii="楷体" w:eastAsia="楷体" w:hAnsi="楷体" w:cs="Times New Roman" w:hint="eastAsia"/>
        </w:rPr>
        <w:t>其中，</w:t>
      </w:r>
      <w:r w:rsidR="00C32DD7" w:rsidRPr="00C64AE1">
        <w:rPr>
          <w:rFonts w:ascii="楷体" w:eastAsia="楷体" w:hAnsi="楷体" w:cs="Times New Roman" w:hint="eastAsia"/>
        </w:rPr>
        <w:t>上证综指跌超20.00%，</w:t>
      </w:r>
      <w:r w:rsidR="00490FC4" w:rsidRPr="00C64AE1">
        <w:rPr>
          <w:rFonts w:ascii="楷体" w:eastAsia="楷体" w:hAnsi="楷体" w:cs="Times New Roman" w:hint="eastAsia"/>
        </w:rPr>
        <w:t>中小板指跌超3</w:t>
      </w:r>
      <w:r w:rsidR="00490FC4" w:rsidRPr="00C64AE1">
        <w:rPr>
          <w:rFonts w:ascii="楷体" w:eastAsia="楷体" w:hAnsi="楷体" w:cs="Times New Roman"/>
        </w:rPr>
        <w:t>0%</w:t>
      </w:r>
      <w:r w:rsidR="00490FC4" w:rsidRPr="00C64AE1">
        <w:rPr>
          <w:rFonts w:ascii="楷体" w:eastAsia="楷体" w:hAnsi="楷体" w:cs="Times New Roman" w:hint="eastAsia"/>
        </w:rPr>
        <w:t>至3</w:t>
      </w:r>
      <w:r w:rsidR="00490FC4" w:rsidRPr="00C64AE1">
        <w:rPr>
          <w:rFonts w:ascii="楷体" w:eastAsia="楷体" w:hAnsi="楷体" w:cs="Times New Roman"/>
        </w:rPr>
        <w:t>1.93%</w:t>
      </w:r>
      <w:r w:rsidR="00366B35" w:rsidRPr="00C64AE1">
        <w:rPr>
          <w:rFonts w:ascii="楷体" w:eastAsia="楷体" w:hAnsi="楷体" w:cs="Times New Roman" w:hint="eastAsia"/>
        </w:rPr>
        <w:t>；创业板指、中小板指与中证500的最大跌幅接近40%</w:t>
      </w:r>
      <w:r w:rsidR="00085FA0" w:rsidRPr="00C64AE1">
        <w:rPr>
          <w:rFonts w:ascii="楷体" w:eastAsia="楷体" w:hAnsi="楷体" w:cs="Times New Roman" w:hint="eastAsia"/>
        </w:rPr>
        <w:t>。</w:t>
      </w:r>
      <w:r w:rsidR="00366B35" w:rsidRPr="00C64AE1">
        <w:rPr>
          <w:rFonts w:ascii="楷体" w:eastAsia="楷体" w:hAnsi="楷体" w:cs="Times New Roman" w:hint="eastAsia"/>
        </w:rPr>
        <w:t>2018年</w:t>
      </w:r>
      <w:r w:rsidR="00D83A4F" w:rsidRPr="00C64AE1">
        <w:rPr>
          <w:rFonts w:ascii="楷体" w:eastAsia="楷体" w:hAnsi="楷体" w:cs="Times New Roman" w:hint="eastAsia"/>
        </w:rPr>
        <w:t>权益市场</w:t>
      </w:r>
      <w:r w:rsidR="004D623E" w:rsidRPr="00C64AE1">
        <w:rPr>
          <w:rFonts w:ascii="楷体" w:eastAsia="楷体" w:hAnsi="楷体" w:cs="Times New Roman" w:hint="eastAsia"/>
        </w:rPr>
        <w:t>的</w:t>
      </w:r>
      <w:r w:rsidR="00D83A4F" w:rsidRPr="00C64AE1">
        <w:rPr>
          <w:rFonts w:ascii="楷体" w:eastAsia="楷体" w:hAnsi="楷体" w:cs="Times New Roman" w:hint="eastAsia"/>
        </w:rPr>
        <w:t>业绩</w:t>
      </w:r>
      <w:r w:rsidR="00366B35" w:rsidRPr="00C64AE1">
        <w:rPr>
          <w:rFonts w:ascii="楷体" w:eastAsia="楷体" w:hAnsi="楷体" w:cs="Times New Roman" w:hint="eastAsia"/>
        </w:rPr>
        <w:t>表现</w:t>
      </w:r>
      <w:r w:rsidR="00D83A4F" w:rsidRPr="00C64AE1">
        <w:rPr>
          <w:rFonts w:ascii="楷体" w:eastAsia="楷体" w:hAnsi="楷体" w:cs="Times New Roman" w:hint="eastAsia"/>
        </w:rPr>
        <w:t>，远逊于</w:t>
      </w:r>
      <w:r w:rsidR="004D623E" w:rsidRPr="00C64AE1">
        <w:rPr>
          <w:rFonts w:ascii="楷体" w:eastAsia="楷体" w:hAnsi="楷体" w:cs="Times New Roman" w:hint="eastAsia"/>
        </w:rPr>
        <w:t>2018年</w:t>
      </w:r>
      <w:r w:rsidR="00D83A4F" w:rsidRPr="00C64AE1">
        <w:rPr>
          <w:rFonts w:ascii="楷体" w:eastAsia="楷体" w:hAnsi="楷体" w:cs="Times New Roman" w:hint="eastAsia"/>
        </w:rPr>
        <w:t>年初“大家”</w:t>
      </w:r>
      <w:r w:rsidR="004D623E" w:rsidRPr="00C64AE1">
        <w:rPr>
          <w:rFonts w:ascii="楷体" w:eastAsia="楷体" w:hAnsi="楷体" w:cs="Times New Roman" w:hint="eastAsia"/>
        </w:rPr>
        <w:t>对市场</w:t>
      </w:r>
      <w:r w:rsidR="00D83A4F" w:rsidRPr="00C64AE1">
        <w:rPr>
          <w:rFonts w:ascii="楷体" w:eastAsia="楷体" w:hAnsi="楷体" w:cs="Times New Roman" w:hint="eastAsia"/>
        </w:rPr>
        <w:t>的预判。</w:t>
      </w:r>
    </w:p>
    <w:p w:rsidR="00832AEF" w:rsidRPr="00C64AE1" w:rsidRDefault="00832AEF"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个股方面，</w:t>
      </w:r>
      <w:r w:rsidR="00EB664B" w:rsidRPr="00C64AE1">
        <w:rPr>
          <w:rFonts w:ascii="楷体" w:eastAsia="楷体" w:hAnsi="楷体" w:cs="Times New Roman" w:hint="eastAsia"/>
        </w:rPr>
        <w:t>沪深两市3560只个股几乎全线飘绿。在</w:t>
      </w:r>
      <w:r w:rsidRPr="00C64AE1">
        <w:rPr>
          <w:rFonts w:ascii="楷体" w:eastAsia="楷体" w:hAnsi="楷体" w:cs="Times New Roman" w:hint="eastAsia"/>
        </w:rPr>
        <w:t>沪深两市</w:t>
      </w:r>
      <w:r w:rsidR="00EB664B" w:rsidRPr="00C64AE1">
        <w:rPr>
          <w:rFonts w:ascii="楷体" w:eastAsia="楷体" w:hAnsi="楷体" w:cs="Times New Roman" w:hint="eastAsia"/>
        </w:rPr>
        <w:t>中，</w:t>
      </w:r>
      <w:r w:rsidRPr="00C64AE1">
        <w:rPr>
          <w:rFonts w:ascii="楷体" w:eastAsia="楷体" w:hAnsi="楷体" w:cs="Times New Roman" w:hint="eastAsia"/>
        </w:rPr>
        <w:t>跌幅超3</w:t>
      </w:r>
      <w:r w:rsidRPr="00C64AE1">
        <w:rPr>
          <w:rFonts w:ascii="楷体" w:eastAsia="楷体" w:hAnsi="楷体" w:cs="Times New Roman"/>
        </w:rPr>
        <w:t>0%</w:t>
      </w:r>
      <w:r w:rsidRPr="00C64AE1">
        <w:rPr>
          <w:rFonts w:ascii="楷体" w:eastAsia="楷体" w:hAnsi="楷体" w:cs="Times New Roman" w:hint="eastAsia"/>
        </w:rPr>
        <w:t>的个股约有1</w:t>
      </w:r>
      <w:r w:rsidRPr="00C64AE1">
        <w:rPr>
          <w:rFonts w:ascii="楷体" w:eastAsia="楷体" w:hAnsi="楷体" w:cs="Times New Roman"/>
        </w:rPr>
        <w:t>600</w:t>
      </w:r>
      <w:r w:rsidRPr="00C64AE1">
        <w:rPr>
          <w:rFonts w:ascii="楷体" w:eastAsia="楷体" w:hAnsi="楷体" w:cs="Times New Roman" w:hint="eastAsia"/>
        </w:rPr>
        <w:t>只（按个股只数3</w:t>
      </w:r>
      <w:r w:rsidRPr="00C64AE1">
        <w:rPr>
          <w:rFonts w:ascii="楷体" w:eastAsia="楷体" w:hAnsi="楷体" w:cs="Times New Roman"/>
        </w:rPr>
        <w:t>560</w:t>
      </w:r>
      <w:r w:rsidRPr="00C64AE1">
        <w:rPr>
          <w:rFonts w:ascii="楷体" w:eastAsia="楷体" w:hAnsi="楷体" w:cs="Times New Roman" w:hint="eastAsia"/>
        </w:rPr>
        <w:t>算（下同），占比约4</w:t>
      </w:r>
      <w:r w:rsidRPr="00C64AE1">
        <w:rPr>
          <w:rFonts w:ascii="楷体" w:eastAsia="楷体" w:hAnsi="楷体" w:cs="Times New Roman"/>
        </w:rPr>
        <w:t>4.94%</w:t>
      </w:r>
      <w:r w:rsidRPr="00C64AE1">
        <w:rPr>
          <w:rFonts w:ascii="楷体" w:eastAsia="楷体" w:hAnsi="楷体" w:cs="Times New Roman" w:hint="eastAsia"/>
        </w:rPr>
        <w:t>），跌幅超2</w:t>
      </w:r>
      <w:r w:rsidRPr="00C64AE1">
        <w:rPr>
          <w:rFonts w:ascii="楷体" w:eastAsia="楷体" w:hAnsi="楷体" w:cs="Times New Roman"/>
        </w:rPr>
        <w:t>0%</w:t>
      </w:r>
      <w:r w:rsidRPr="00C64AE1">
        <w:rPr>
          <w:rFonts w:ascii="楷体" w:eastAsia="楷体" w:hAnsi="楷体" w:cs="Times New Roman" w:hint="eastAsia"/>
        </w:rPr>
        <w:t>的个股约为2</w:t>
      </w:r>
      <w:r w:rsidRPr="00C64AE1">
        <w:rPr>
          <w:rFonts w:ascii="楷体" w:eastAsia="楷体" w:hAnsi="楷体" w:cs="Times New Roman"/>
        </w:rPr>
        <w:t>450</w:t>
      </w:r>
      <w:r w:rsidRPr="00C64AE1">
        <w:rPr>
          <w:rFonts w:ascii="楷体" w:eastAsia="楷体" w:hAnsi="楷体" w:cs="Times New Roman" w:hint="eastAsia"/>
        </w:rPr>
        <w:t>只（占比约为6</w:t>
      </w:r>
      <w:r w:rsidRPr="00C64AE1">
        <w:rPr>
          <w:rFonts w:ascii="楷体" w:eastAsia="楷体" w:hAnsi="楷体" w:cs="Times New Roman"/>
        </w:rPr>
        <w:t>8.82%</w:t>
      </w:r>
      <w:r w:rsidRPr="00C64AE1">
        <w:rPr>
          <w:rFonts w:ascii="楷体" w:eastAsia="楷体" w:hAnsi="楷体" w:cs="Times New Roman" w:hint="eastAsia"/>
        </w:rPr>
        <w:t>），仅约3</w:t>
      </w:r>
      <w:r w:rsidRPr="00C64AE1">
        <w:rPr>
          <w:rFonts w:ascii="楷体" w:eastAsia="楷体" w:hAnsi="楷体" w:cs="Times New Roman"/>
        </w:rPr>
        <w:t>00</w:t>
      </w:r>
      <w:r w:rsidRPr="00C64AE1">
        <w:rPr>
          <w:rFonts w:ascii="楷体" w:eastAsia="楷体" w:hAnsi="楷体" w:cs="Times New Roman" w:hint="eastAsia"/>
        </w:rPr>
        <w:t>只个股有涨幅（占比约8</w:t>
      </w:r>
      <w:r w:rsidRPr="00C64AE1">
        <w:rPr>
          <w:rFonts w:ascii="楷体" w:eastAsia="楷体" w:hAnsi="楷体" w:cs="Times New Roman"/>
        </w:rPr>
        <w:t>.42%</w:t>
      </w:r>
      <w:r w:rsidRPr="00C64AE1">
        <w:rPr>
          <w:rFonts w:ascii="楷体" w:eastAsia="楷体" w:hAnsi="楷体" w:cs="Times New Roman" w:hint="eastAsia"/>
        </w:rPr>
        <w:t>，不及1</w:t>
      </w:r>
      <w:r w:rsidRPr="00C64AE1">
        <w:rPr>
          <w:rFonts w:ascii="楷体" w:eastAsia="楷体" w:hAnsi="楷体" w:cs="Times New Roman"/>
        </w:rPr>
        <w:t>0%</w:t>
      </w:r>
      <w:r w:rsidRPr="00C64AE1">
        <w:rPr>
          <w:rFonts w:ascii="楷体" w:eastAsia="楷体" w:hAnsi="楷体" w:cs="Times New Roman" w:hint="eastAsia"/>
        </w:rPr>
        <w:t>）。</w:t>
      </w:r>
      <w:bookmarkStart w:id="4" w:name="_GoBack"/>
      <w:bookmarkEnd w:id="4"/>
    </w:p>
    <w:tbl>
      <w:tblPr>
        <w:tblW w:w="10206" w:type="dxa"/>
        <w:tblInd w:w="709" w:type="dxa"/>
        <w:tblBorders>
          <w:insideH w:val="double" w:sz="4" w:space="0" w:color="333399"/>
          <w:insideV w:val="double" w:sz="4" w:space="0" w:color="333399"/>
        </w:tblBorders>
        <w:tblLayout w:type="fixed"/>
        <w:tblCellMar>
          <w:left w:w="0" w:type="dxa"/>
          <w:right w:w="0" w:type="dxa"/>
        </w:tblCellMar>
        <w:tblLook w:val="04A0"/>
      </w:tblPr>
      <w:tblGrid>
        <w:gridCol w:w="10206"/>
      </w:tblGrid>
      <w:tr w:rsidR="00FB2277" w:rsidRPr="00C64AE1" w:rsidTr="008C190F">
        <w:trPr>
          <w:trHeight w:val="343"/>
        </w:trPr>
        <w:tc>
          <w:tcPr>
            <w:tcW w:w="10206" w:type="dxa"/>
            <w:tcBorders>
              <w:top w:val="nil"/>
              <w:bottom w:val="single" w:sz="12" w:space="0" w:color="CC0000"/>
            </w:tcBorders>
            <w:shd w:val="clear" w:color="auto" w:fill="auto"/>
            <w:vAlign w:val="bottom"/>
          </w:tcPr>
          <w:p w:rsidR="00FB2277" w:rsidRPr="00C64AE1" w:rsidRDefault="000D2C46" w:rsidP="000D2C46">
            <w:pPr>
              <w:keepNext/>
              <w:keepLines/>
              <w:rPr>
                <w:rFonts w:ascii="楷体" w:eastAsia="楷体" w:hAnsi="楷体" w:cs="Times New Roman"/>
                <w:sz w:val="20"/>
                <w:szCs w:val="20"/>
              </w:rPr>
            </w:pPr>
            <w:r w:rsidRPr="00C64AE1">
              <w:rPr>
                <w:rFonts w:ascii="楷体" w:eastAsia="楷体" w:hAnsi="楷体" w:cs="Times New Roman" w:hint="eastAsia"/>
                <w:sz w:val="20"/>
                <w:szCs w:val="20"/>
              </w:rPr>
              <w:t xml:space="preserve">图1  </w:t>
            </w:r>
            <w:r w:rsidR="0076374E" w:rsidRPr="00C64AE1">
              <w:rPr>
                <w:rFonts w:ascii="楷体" w:eastAsia="楷体" w:hAnsi="楷体" w:cs="Times New Roman" w:hint="eastAsia"/>
                <w:sz w:val="20"/>
                <w:szCs w:val="20"/>
              </w:rPr>
              <w:t>（</w:t>
            </w:r>
            <w:r w:rsidR="00FB2277" w:rsidRPr="00C64AE1">
              <w:rPr>
                <w:rFonts w:ascii="楷体" w:eastAsia="楷体" w:hAnsi="楷体" w:cs="Times New Roman" w:hint="eastAsia"/>
                <w:sz w:val="20"/>
                <w:szCs w:val="20"/>
              </w:rPr>
              <w:t>2018年以来市场主要指数走势图</w:t>
            </w:r>
            <w:r w:rsidR="0076374E" w:rsidRPr="00C64AE1">
              <w:rPr>
                <w:rFonts w:ascii="楷体" w:eastAsia="楷体" w:hAnsi="楷体" w:cs="Times New Roman" w:hint="eastAsia"/>
                <w:sz w:val="20"/>
                <w:szCs w:val="20"/>
              </w:rPr>
              <w:t>）</w:t>
            </w:r>
          </w:p>
        </w:tc>
      </w:tr>
      <w:tr w:rsidR="00FB2277" w:rsidRPr="00C64AE1" w:rsidTr="008C190F">
        <w:tblPrEx>
          <w:tblCellMar>
            <w:left w:w="108" w:type="dxa"/>
            <w:right w:w="108" w:type="dxa"/>
          </w:tblCellMar>
        </w:tblPrEx>
        <w:trPr>
          <w:trHeight w:hRule="exact" w:val="4417"/>
        </w:trPr>
        <w:tc>
          <w:tcPr>
            <w:tcW w:w="10206" w:type="dxa"/>
            <w:tcBorders>
              <w:top w:val="single" w:sz="12" w:space="0" w:color="CC0000"/>
              <w:bottom w:val="single" w:sz="12" w:space="0" w:color="CC0000"/>
            </w:tcBorders>
            <w:shd w:val="clear" w:color="auto" w:fill="auto"/>
          </w:tcPr>
          <w:p w:rsidR="00FB2277" w:rsidRPr="00C64AE1" w:rsidRDefault="00B818AB" w:rsidP="00FB2277">
            <w:pPr>
              <w:keepNext/>
              <w:keepLines/>
              <w:ind w:leftChars="-793" w:hangingChars="793" w:hanging="1665"/>
              <w:jc w:val="right"/>
              <w:rPr>
                <w:rFonts w:ascii="楷体" w:eastAsia="楷体" w:hAnsi="楷体" w:cs="Times New Roman"/>
                <w:szCs w:val="21"/>
              </w:rPr>
            </w:pPr>
            <w:r w:rsidRPr="00C64AE1">
              <w:rPr>
                <w:rFonts w:ascii="楷体" w:eastAsia="楷体" w:hAnsi="楷体" w:cs="Times New Roman"/>
                <w:noProof/>
                <w:szCs w:val="21"/>
              </w:rPr>
              <w:drawing>
                <wp:inline distT="0" distB="0" distL="0" distR="0">
                  <wp:extent cx="6341110" cy="2695575"/>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341110" cy="2695575"/>
                          </a:xfrm>
                          <a:prstGeom prst="rect">
                            <a:avLst/>
                          </a:prstGeom>
                          <a:noFill/>
                          <a:ln w="9525">
                            <a:noFill/>
                            <a:miter lim="800000"/>
                            <a:headEnd/>
                            <a:tailEnd/>
                          </a:ln>
                        </pic:spPr>
                      </pic:pic>
                    </a:graphicData>
                  </a:graphic>
                </wp:inline>
              </w:drawing>
            </w:r>
          </w:p>
        </w:tc>
      </w:tr>
      <w:tr w:rsidR="00FB2277" w:rsidRPr="00C64AE1" w:rsidTr="008C190F">
        <w:trPr>
          <w:trHeight w:val="343"/>
        </w:trPr>
        <w:tc>
          <w:tcPr>
            <w:tcW w:w="10206" w:type="dxa"/>
            <w:tcBorders>
              <w:top w:val="single" w:sz="12" w:space="0" w:color="CC0000"/>
              <w:bottom w:val="nil"/>
            </w:tcBorders>
            <w:shd w:val="clear" w:color="auto" w:fill="auto"/>
            <w:vAlign w:val="bottom"/>
          </w:tcPr>
          <w:p w:rsidR="00FB2277" w:rsidRPr="00C64AE1" w:rsidRDefault="00FB2277" w:rsidP="00023874">
            <w:pPr>
              <w:keepNext/>
              <w:keepLines/>
              <w:rPr>
                <w:rFonts w:ascii="楷体" w:eastAsia="楷体" w:hAnsi="楷体" w:cs="Times New Roman"/>
                <w:sz w:val="20"/>
                <w:szCs w:val="20"/>
              </w:rPr>
            </w:pPr>
            <w:r w:rsidRPr="00C64AE1">
              <w:rPr>
                <w:rFonts w:ascii="楷体" w:eastAsia="楷体" w:hAnsi="楷体" w:cs="Times New Roman" w:hint="eastAsia"/>
                <w:sz w:val="20"/>
                <w:szCs w:val="20"/>
              </w:rPr>
              <w:t>资料来源：Wind，中山证券研究所</w:t>
            </w:r>
            <w:r w:rsidR="0050741F" w:rsidRPr="00C64AE1">
              <w:rPr>
                <w:rFonts w:ascii="楷体" w:eastAsia="楷体" w:hAnsi="楷体" w:cs="Times New Roman" w:hint="eastAsia"/>
                <w:sz w:val="20"/>
                <w:szCs w:val="20"/>
              </w:rPr>
              <w:t>，截止2</w:t>
            </w:r>
            <w:r w:rsidR="0050741F" w:rsidRPr="00C64AE1">
              <w:rPr>
                <w:rFonts w:ascii="楷体" w:eastAsia="楷体" w:hAnsi="楷体" w:cs="Times New Roman"/>
                <w:sz w:val="20"/>
                <w:szCs w:val="20"/>
              </w:rPr>
              <w:t>018</w:t>
            </w:r>
            <w:r w:rsidR="0050741F" w:rsidRPr="00C64AE1">
              <w:rPr>
                <w:rFonts w:ascii="楷体" w:eastAsia="楷体" w:hAnsi="楷体" w:cs="Times New Roman" w:hint="eastAsia"/>
                <w:sz w:val="20"/>
                <w:szCs w:val="20"/>
              </w:rPr>
              <w:t>年</w:t>
            </w:r>
            <w:r w:rsidR="00023874" w:rsidRPr="00C64AE1">
              <w:rPr>
                <w:rFonts w:ascii="楷体" w:eastAsia="楷体" w:hAnsi="楷体" w:cs="Times New Roman" w:hint="eastAsia"/>
                <w:sz w:val="20"/>
                <w:szCs w:val="20"/>
              </w:rPr>
              <w:t>12</w:t>
            </w:r>
            <w:r w:rsidR="0050741F" w:rsidRPr="00C64AE1">
              <w:rPr>
                <w:rFonts w:ascii="楷体" w:eastAsia="楷体" w:hAnsi="楷体" w:cs="Times New Roman" w:hint="eastAsia"/>
                <w:sz w:val="20"/>
                <w:szCs w:val="20"/>
              </w:rPr>
              <w:t>月</w:t>
            </w:r>
            <w:r w:rsidR="00E30D0B" w:rsidRPr="00C64AE1">
              <w:rPr>
                <w:rFonts w:ascii="楷体" w:eastAsia="楷体" w:hAnsi="楷体" w:cs="Times New Roman" w:hint="eastAsia"/>
                <w:sz w:val="20"/>
                <w:szCs w:val="20"/>
              </w:rPr>
              <w:t>3</w:t>
            </w:r>
            <w:r w:rsidR="00023874" w:rsidRPr="00C64AE1">
              <w:rPr>
                <w:rFonts w:ascii="楷体" w:eastAsia="楷体" w:hAnsi="楷体" w:cs="Times New Roman" w:hint="eastAsia"/>
                <w:sz w:val="20"/>
                <w:szCs w:val="20"/>
              </w:rPr>
              <w:t>1</w:t>
            </w:r>
            <w:r w:rsidR="0050741F" w:rsidRPr="00C64AE1">
              <w:rPr>
                <w:rFonts w:ascii="楷体" w:eastAsia="楷体" w:hAnsi="楷体" w:cs="Times New Roman" w:hint="eastAsia"/>
                <w:sz w:val="20"/>
                <w:szCs w:val="20"/>
              </w:rPr>
              <w:t>日（下同）</w:t>
            </w:r>
          </w:p>
        </w:tc>
      </w:tr>
    </w:tbl>
    <w:p w:rsidR="00FB2277" w:rsidRPr="00C64AE1" w:rsidRDefault="00FB2277" w:rsidP="00290DC4">
      <w:pPr>
        <w:spacing w:line="60" w:lineRule="exact"/>
      </w:pPr>
    </w:p>
    <w:tbl>
      <w:tblPr>
        <w:tblW w:w="4615" w:type="pct"/>
        <w:jc w:val="right"/>
        <w:tblLook w:val="04A0"/>
      </w:tblPr>
      <w:tblGrid>
        <w:gridCol w:w="1814"/>
        <w:gridCol w:w="1809"/>
        <w:gridCol w:w="1327"/>
        <w:gridCol w:w="1732"/>
        <w:gridCol w:w="1732"/>
        <w:gridCol w:w="1728"/>
      </w:tblGrid>
      <w:tr w:rsidR="00E07D35" w:rsidRPr="00C64AE1" w:rsidTr="00FE0EF8">
        <w:trPr>
          <w:trHeight w:val="204"/>
          <w:jc w:val="right"/>
        </w:trPr>
        <w:tc>
          <w:tcPr>
            <w:tcW w:w="5000" w:type="pct"/>
            <w:gridSpan w:val="6"/>
            <w:tcBorders>
              <w:left w:val="dotted" w:sz="4" w:space="0" w:color="auto"/>
              <w:bottom w:val="single" w:sz="6" w:space="0" w:color="BE0000"/>
              <w:right w:val="dotted" w:sz="4" w:space="0" w:color="auto"/>
            </w:tcBorders>
            <w:vAlign w:val="center"/>
          </w:tcPr>
          <w:p w:rsidR="00E07D35" w:rsidRPr="00C64AE1" w:rsidRDefault="000D2C46" w:rsidP="00E07D35">
            <w:pPr>
              <w:keepNext/>
              <w:keepLines/>
              <w:widowControl/>
              <w:jc w:val="left"/>
              <w:rPr>
                <w:rFonts w:ascii="楷体" w:eastAsia="楷体" w:hAnsi="楷体" w:cs="Arial"/>
                <w:b/>
                <w:bCs/>
                <w:kern w:val="0"/>
                <w:sz w:val="20"/>
                <w:szCs w:val="20"/>
              </w:rPr>
            </w:pPr>
            <w:r w:rsidRPr="00C64AE1">
              <w:rPr>
                <w:rFonts w:ascii="楷体" w:eastAsia="楷体" w:hAnsi="楷体" w:cs="Arial" w:hint="eastAsia"/>
                <w:kern w:val="0"/>
                <w:sz w:val="20"/>
                <w:szCs w:val="20"/>
              </w:rPr>
              <w:t xml:space="preserve">表1  </w:t>
            </w:r>
            <w:r w:rsidR="00E07D35" w:rsidRPr="00C64AE1">
              <w:rPr>
                <w:rFonts w:ascii="楷体" w:eastAsia="楷体" w:hAnsi="楷体" w:cs="Arial" w:hint="eastAsia"/>
                <w:kern w:val="0"/>
                <w:sz w:val="20"/>
                <w:szCs w:val="20"/>
              </w:rPr>
              <w:t>市场主要指数2</w:t>
            </w:r>
            <w:r w:rsidR="00E07D35" w:rsidRPr="00C64AE1">
              <w:rPr>
                <w:rFonts w:ascii="楷体" w:eastAsia="楷体" w:hAnsi="楷体" w:cs="Arial"/>
                <w:kern w:val="0"/>
                <w:sz w:val="20"/>
                <w:szCs w:val="20"/>
              </w:rPr>
              <w:t>018</w:t>
            </w:r>
            <w:r w:rsidR="00E07D35" w:rsidRPr="00C64AE1">
              <w:rPr>
                <w:rFonts w:ascii="楷体" w:eastAsia="楷体" w:hAnsi="楷体" w:cs="Arial" w:hint="eastAsia"/>
                <w:kern w:val="0"/>
                <w:sz w:val="20"/>
                <w:szCs w:val="20"/>
              </w:rPr>
              <w:t>年以来的涨跌情况</w:t>
            </w:r>
          </w:p>
        </w:tc>
      </w:tr>
      <w:tr w:rsidR="00E07D35" w:rsidRPr="00C64AE1" w:rsidTr="00FE0EF8">
        <w:trPr>
          <w:trHeight w:val="204"/>
          <w:jc w:val="right"/>
        </w:trPr>
        <w:tc>
          <w:tcPr>
            <w:tcW w:w="894" w:type="pct"/>
            <w:tcBorders>
              <w:top w:val="single" w:sz="12" w:space="0" w:color="BE0000"/>
              <w:left w:val="dotted" w:sz="4" w:space="0" w:color="auto"/>
              <w:bottom w:val="single" w:sz="6" w:space="0" w:color="BE0000"/>
              <w:right w:val="dotted" w:sz="4" w:space="0" w:color="auto"/>
            </w:tcBorders>
            <w:vAlign w:val="center"/>
          </w:tcPr>
          <w:p w:rsidR="00E07D35" w:rsidRPr="00C64AE1" w:rsidRDefault="00E07D35" w:rsidP="00E07D35">
            <w:pPr>
              <w:keepNext/>
              <w:keepLines/>
              <w:widowControl/>
              <w:jc w:val="center"/>
              <w:rPr>
                <w:rFonts w:ascii="楷体" w:eastAsia="楷体" w:hAnsi="楷体" w:cs="Arial"/>
                <w:b/>
                <w:bCs/>
                <w:kern w:val="0"/>
                <w:sz w:val="20"/>
                <w:szCs w:val="20"/>
              </w:rPr>
            </w:pPr>
            <w:r w:rsidRPr="00C64AE1">
              <w:rPr>
                <w:rFonts w:ascii="楷体" w:eastAsia="楷体" w:hAnsi="楷体" w:cs="Arial"/>
                <w:b/>
                <w:bCs/>
                <w:kern w:val="0"/>
                <w:sz w:val="20"/>
                <w:szCs w:val="20"/>
              </w:rPr>
              <w:t>指数名称</w:t>
            </w:r>
          </w:p>
        </w:tc>
        <w:tc>
          <w:tcPr>
            <w:tcW w:w="892" w:type="pct"/>
            <w:tcBorders>
              <w:top w:val="single" w:sz="12" w:space="0" w:color="BE0000"/>
              <w:left w:val="dotted" w:sz="4" w:space="0" w:color="auto"/>
              <w:bottom w:val="single" w:sz="6" w:space="0" w:color="BE0000"/>
              <w:right w:val="dotted" w:sz="4" w:space="0" w:color="auto"/>
            </w:tcBorders>
            <w:shd w:val="clear" w:color="auto" w:fill="auto"/>
            <w:noWrap/>
            <w:vAlign w:val="center"/>
          </w:tcPr>
          <w:p w:rsidR="00E07D35" w:rsidRPr="00C64AE1" w:rsidRDefault="00E07D35" w:rsidP="00E07D35">
            <w:pPr>
              <w:keepNext/>
              <w:keepLines/>
              <w:widowControl/>
              <w:jc w:val="center"/>
              <w:rPr>
                <w:rFonts w:ascii="楷体" w:eastAsia="楷体" w:hAnsi="楷体" w:cs="Arial"/>
                <w:b/>
                <w:bCs/>
                <w:kern w:val="0"/>
                <w:sz w:val="20"/>
                <w:szCs w:val="20"/>
              </w:rPr>
            </w:pPr>
            <w:r w:rsidRPr="00C64AE1">
              <w:rPr>
                <w:rFonts w:ascii="楷体" w:eastAsia="楷体" w:hAnsi="楷体" w:cs="Arial" w:hint="eastAsia"/>
                <w:b/>
                <w:kern w:val="0"/>
                <w:sz w:val="20"/>
                <w:szCs w:val="20"/>
              </w:rPr>
              <w:t>上证综指</w:t>
            </w:r>
          </w:p>
        </w:tc>
        <w:tc>
          <w:tcPr>
            <w:tcW w:w="654" w:type="pct"/>
            <w:tcBorders>
              <w:top w:val="single" w:sz="12" w:space="0" w:color="BE0000"/>
              <w:left w:val="dotted" w:sz="4" w:space="0" w:color="auto"/>
              <w:bottom w:val="single" w:sz="6" w:space="0" w:color="BE0000"/>
              <w:right w:val="dotted" w:sz="4" w:space="0" w:color="auto"/>
            </w:tcBorders>
            <w:shd w:val="clear" w:color="auto" w:fill="auto"/>
            <w:noWrap/>
            <w:vAlign w:val="center"/>
          </w:tcPr>
          <w:p w:rsidR="00E07D35" w:rsidRPr="00C64AE1" w:rsidRDefault="00E07D35" w:rsidP="00E07D35">
            <w:pPr>
              <w:keepNext/>
              <w:keepLines/>
              <w:widowControl/>
              <w:jc w:val="center"/>
              <w:rPr>
                <w:rFonts w:ascii="楷体" w:eastAsia="楷体" w:hAnsi="楷体" w:cs="Arial"/>
                <w:b/>
                <w:bCs/>
                <w:kern w:val="0"/>
                <w:sz w:val="20"/>
                <w:szCs w:val="20"/>
              </w:rPr>
            </w:pPr>
            <w:r w:rsidRPr="00C64AE1">
              <w:rPr>
                <w:rFonts w:ascii="楷体" w:eastAsia="楷体" w:hAnsi="楷体" w:cs="Arial"/>
                <w:b/>
                <w:kern w:val="0"/>
                <w:sz w:val="20"/>
                <w:szCs w:val="20"/>
              </w:rPr>
              <w:t>沪深</w:t>
            </w:r>
            <w:r w:rsidRPr="00C64AE1">
              <w:rPr>
                <w:rFonts w:ascii="楷体" w:eastAsia="楷体" w:hAnsi="楷体" w:cs="Arial" w:hint="eastAsia"/>
                <w:b/>
                <w:kern w:val="0"/>
                <w:sz w:val="20"/>
                <w:szCs w:val="20"/>
              </w:rPr>
              <w:t>300</w:t>
            </w:r>
          </w:p>
        </w:tc>
        <w:tc>
          <w:tcPr>
            <w:tcW w:w="854" w:type="pct"/>
            <w:tcBorders>
              <w:top w:val="single" w:sz="12" w:space="0" w:color="BE0000"/>
              <w:left w:val="dotted" w:sz="4" w:space="0" w:color="auto"/>
              <w:bottom w:val="single" w:sz="6" w:space="0" w:color="BE0000"/>
              <w:right w:val="dotted" w:sz="4" w:space="0" w:color="auto"/>
            </w:tcBorders>
            <w:shd w:val="clear" w:color="auto" w:fill="auto"/>
            <w:noWrap/>
            <w:vAlign w:val="center"/>
          </w:tcPr>
          <w:p w:rsidR="00E07D35" w:rsidRPr="00C64AE1" w:rsidRDefault="00E07D35" w:rsidP="00E07D35">
            <w:pPr>
              <w:keepNext/>
              <w:keepLines/>
              <w:widowControl/>
              <w:jc w:val="center"/>
              <w:rPr>
                <w:rFonts w:ascii="楷体" w:eastAsia="楷体" w:hAnsi="楷体" w:cs="Arial"/>
                <w:b/>
                <w:bCs/>
                <w:kern w:val="0"/>
                <w:sz w:val="20"/>
                <w:szCs w:val="20"/>
              </w:rPr>
            </w:pPr>
            <w:r w:rsidRPr="00C64AE1">
              <w:rPr>
                <w:rFonts w:ascii="楷体" w:eastAsia="楷体" w:hAnsi="楷体" w:cs="Arial"/>
                <w:b/>
                <w:kern w:val="0"/>
                <w:sz w:val="20"/>
                <w:szCs w:val="20"/>
              </w:rPr>
              <w:t>中小板指</w:t>
            </w:r>
          </w:p>
        </w:tc>
        <w:tc>
          <w:tcPr>
            <w:tcW w:w="854" w:type="pct"/>
            <w:tcBorders>
              <w:top w:val="single" w:sz="12" w:space="0" w:color="BE0000"/>
              <w:left w:val="dotted" w:sz="4" w:space="0" w:color="auto"/>
              <w:bottom w:val="single" w:sz="6" w:space="0" w:color="BE0000"/>
              <w:right w:val="dotted" w:sz="4" w:space="0" w:color="auto"/>
            </w:tcBorders>
            <w:vAlign w:val="center"/>
          </w:tcPr>
          <w:p w:rsidR="00E07D35" w:rsidRPr="00C64AE1" w:rsidRDefault="00E07D35" w:rsidP="00E07D35">
            <w:pPr>
              <w:keepNext/>
              <w:keepLines/>
              <w:widowControl/>
              <w:jc w:val="center"/>
              <w:rPr>
                <w:rFonts w:ascii="楷体" w:eastAsia="楷体" w:hAnsi="楷体" w:cs="Arial"/>
                <w:b/>
                <w:bCs/>
                <w:kern w:val="0"/>
                <w:sz w:val="20"/>
                <w:szCs w:val="20"/>
              </w:rPr>
            </w:pPr>
            <w:r w:rsidRPr="00C64AE1">
              <w:rPr>
                <w:rFonts w:ascii="楷体" w:eastAsia="楷体" w:hAnsi="楷体" w:cs="Arial"/>
                <w:b/>
                <w:kern w:val="0"/>
                <w:sz w:val="20"/>
                <w:szCs w:val="20"/>
              </w:rPr>
              <w:t>创业板指</w:t>
            </w:r>
          </w:p>
        </w:tc>
        <w:tc>
          <w:tcPr>
            <w:tcW w:w="852" w:type="pct"/>
            <w:tcBorders>
              <w:top w:val="single" w:sz="12" w:space="0" w:color="BE0000"/>
              <w:left w:val="dotted" w:sz="4" w:space="0" w:color="auto"/>
              <w:bottom w:val="single" w:sz="6" w:space="0" w:color="BE0000"/>
              <w:right w:val="dotted" w:sz="4" w:space="0" w:color="auto"/>
            </w:tcBorders>
            <w:vAlign w:val="center"/>
          </w:tcPr>
          <w:p w:rsidR="00E07D35" w:rsidRPr="00C64AE1" w:rsidRDefault="00E07D35" w:rsidP="00E07D35">
            <w:pPr>
              <w:keepNext/>
              <w:keepLines/>
              <w:widowControl/>
              <w:jc w:val="center"/>
              <w:rPr>
                <w:rFonts w:ascii="楷体" w:eastAsia="楷体" w:hAnsi="楷体" w:cs="Arial"/>
                <w:b/>
                <w:bCs/>
                <w:kern w:val="0"/>
                <w:sz w:val="20"/>
                <w:szCs w:val="20"/>
              </w:rPr>
            </w:pPr>
            <w:r w:rsidRPr="00C64AE1">
              <w:rPr>
                <w:rFonts w:ascii="楷体" w:eastAsia="楷体" w:hAnsi="楷体" w:cs="Arial"/>
                <w:b/>
                <w:kern w:val="0"/>
                <w:sz w:val="20"/>
                <w:szCs w:val="20"/>
              </w:rPr>
              <w:t>中证</w:t>
            </w:r>
            <w:r w:rsidRPr="00C64AE1">
              <w:rPr>
                <w:rFonts w:ascii="楷体" w:eastAsia="楷体" w:hAnsi="楷体" w:cs="Arial" w:hint="eastAsia"/>
                <w:b/>
                <w:kern w:val="0"/>
                <w:sz w:val="20"/>
                <w:szCs w:val="20"/>
              </w:rPr>
              <w:t>500</w:t>
            </w:r>
          </w:p>
        </w:tc>
      </w:tr>
      <w:tr w:rsidR="00E07D35" w:rsidRPr="00C64AE1" w:rsidTr="0050741F">
        <w:trPr>
          <w:trHeight w:val="218"/>
          <w:jc w:val="right"/>
        </w:trPr>
        <w:tc>
          <w:tcPr>
            <w:tcW w:w="894" w:type="pct"/>
            <w:tcBorders>
              <w:top w:val="single" w:sz="6" w:space="0" w:color="BE0000"/>
              <w:left w:val="dotted" w:sz="4" w:space="0" w:color="auto"/>
              <w:bottom w:val="single" w:sz="6" w:space="0" w:color="BE0000"/>
              <w:right w:val="dotted" w:sz="4" w:space="0" w:color="auto"/>
            </w:tcBorders>
            <w:shd w:val="clear" w:color="000000" w:fill="F2F2F2"/>
            <w:vAlign w:val="center"/>
          </w:tcPr>
          <w:p w:rsidR="00E07D35" w:rsidRPr="00C64AE1" w:rsidRDefault="00E07D35" w:rsidP="00E07D35">
            <w:pPr>
              <w:keepNext/>
              <w:keepLines/>
              <w:widowControl/>
              <w:jc w:val="center"/>
              <w:rPr>
                <w:rFonts w:ascii="楷体" w:eastAsia="楷体" w:hAnsi="楷体" w:cs="Arial"/>
                <w:b/>
                <w:kern w:val="0"/>
                <w:sz w:val="20"/>
                <w:szCs w:val="20"/>
              </w:rPr>
            </w:pPr>
            <w:bookmarkStart w:id="5" w:name="_Hlk522913015"/>
            <w:r w:rsidRPr="00C64AE1">
              <w:rPr>
                <w:rFonts w:ascii="楷体" w:eastAsia="楷体" w:hAnsi="楷体" w:cs="Arial" w:hint="eastAsia"/>
                <w:b/>
                <w:kern w:val="0"/>
                <w:sz w:val="20"/>
                <w:szCs w:val="20"/>
              </w:rPr>
              <w:t>涨跌幅</w:t>
            </w:r>
          </w:p>
        </w:tc>
        <w:tc>
          <w:tcPr>
            <w:tcW w:w="892" w:type="pct"/>
            <w:tcBorders>
              <w:top w:val="single" w:sz="6" w:space="0" w:color="BE0000"/>
              <w:left w:val="dotted" w:sz="4" w:space="0" w:color="auto"/>
              <w:bottom w:val="single" w:sz="6" w:space="0" w:color="BE0000"/>
              <w:right w:val="dotted" w:sz="4" w:space="0" w:color="auto"/>
            </w:tcBorders>
            <w:shd w:val="clear" w:color="000000" w:fill="F2F2F2"/>
            <w:noWrap/>
            <w:vAlign w:val="center"/>
          </w:tcPr>
          <w:p w:rsidR="00E07D35" w:rsidRPr="00C64AE1" w:rsidRDefault="0050741F" w:rsidP="00B818AB">
            <w:pPr>
              <w:jc w:val="center"/>
              <w:rPr>
                <w:rFonts w:ascii="楷体" w:eastAsia="楷体" w:hAnsi="楷体" w:cs="宋体"/>
                <w:sz w:val="20"/>
                <w:szCs w:val="20"/>
              </w:rPr>
            </w:pPr>
            <w:r w:rsidRPr="00C64AE1">
              <w:rPr>
                <w:rFonts w:ascii="楷体" w:eastAsia="楷体" w:hAnsi="楷体" w:cs="宋体"/>
                <w:sz w:val="20"/>
                <w:szCs w:val="20"/>
              </w:rPr>
              <w:t>-</w:t>
            </w:r>
            <w:r w:rsidR="00B818AB" w:rsidRPr="00C64AE1">
              <w:rPr>
                <w:rFonts w:ascii="楷体" w:eastAsia="楷体" w:hAnsi="楷体" w:cs="宋体" w:hint="eastAsia"/>
                <w:sz w:val="20"/>
                <w:szCs w:val="20"/>
              </w:rPr>
              <w:t>24.59</w:t>
            </w:r>
            <w:r w:rsidRPr="00C64AE1">
              <w:rPr>
                <w:rFonts w:ascii="楷体" w:eastAsia="楷体" w:hAnsi="楷体" w:cs="宋体"/>
                <w:sz w:val="20"/>
                <w:szCs w:val="20"/>
              </w:rPr>
              <w:t>%</w:t>
            </w:r>
          </w:p>
        </w:tc>
        <w:tc>
          <w:tcPr>
            <w:tcW w:w="654" w:type="pct"/>
            <w:tcBorders>
              <w:top w:val="single" w:sz="6" w:space="0" w:color="BE0000"/>
              <w:left w:val="dotted" w:sz="4" w:space="0" w:color="auto"/>
              <w:bottom w:val="single" w:sz="6" w:space="0" w:color="BE0000"/>
              <w:right w:val="dotted" w:sz="4" w:space="0" w:color="auto"/>
            </w:tcBorders>
            <w:shd w:val="clear" w:color="000000" w:fill="F2F2F2"/>
            <w:noWrap/>
            <w:vAlign w:val="center"/>
          </w:tcPr>
          <w:p w:rsidR="00E07D35" w:rsidRPr="00C64AE1" w:rsidRDefault="0050741F" w:rsidP="00B818AB">
            <w:pPr>
              <w:jc w:val="center"/>
              <w:rPr>
                <w:rFonts w:ascii="楷体" w:eastAsia="楷体" w:hAnsi="楷体" w:cs="宋体"/>
                <w:sz w:val="20"/>
                <w:szCs w:val="20"/>
              </w:rPr>
            </w:pPr>
            <w:r w:rsidRPr="00C64AE1">
              <w:rPr>
                <w:rFonts w:ascii="楷体" w:eastAsia="楷体" w:hAnsi="楷体" w:cs="宋体" w:hint="eastAsia"/>
                <w:sz w:val="20"/>
                <w:szCs w:val="20"/>
              </w:rPr>
              <w:t>-</w:t>
            </w:r>
            <w:r w:rsidR="00B818AB" w:rsidRPr="00C64AE1">
              <w:rPr>
                <w:rFonts w:ascii="楷体" w:eastAsia="楷体" w:hAnsi="楷体" w:cs="宋体" w:hint="eastAsia"/>
                <w:sz w:val="20"/>
                <w:szCs w:val="20"/>
              </w:rPr>
              <w:t>25.31</w:t>
            </w:r>
            <w:r w:rsidRPr="00C64AE1">
              <w:rPr>
                <w:rFonts w:ascii="楷体" w:eastAsia="楷体" w:hAnsi="楷体" w:cs="宋体"/>
                <w:sz w:val="20"/>
                <w:szCs w:val="20"/>
              </w:rPr>
              <w:t>%</w:t>
            </w:r>
          </w:p>
        </w:tc>
        <w:tc>
          <w:tcPr>
            <w:tcW w:w="854" w:type="pct"/>
            <w:tcBorders>
              <w:top w:val="single" w:sz="6" w:space="0" w:color="BE0000"/>
              <w:left w:val="dotted" w:sz="4" w:space="0" w:color="auto"/>
              <w:bottom w:val="single" w:sz="6" w:space="0" w:color="BE0000"/>
              <w:right w:val="dotted" w:sz="4" w:space="0" w:color="auto"/>
            </w:tcBorders>
            <w:shd w:val="clear" w:color="000000" w:fill="F2F2F2"/>
            <w:noWrap/>
            <w:vAlign w:val="center"/>
          </w:tcPr>
          <w:p w:rsidR="00E07D35" w:rsidRPr="00C64AE1" w:rsidRDefault="0050741F" w:rsidP="00B818AB">
            <w:pPr>
              <w:keepNext/>
              <w:keepLines/>
              <w:widowControl/>
              <w:jc w:val="center"/>
              <w:rPr>
                <w:rFonts w:ascii="楷体" w:eastAsia="楷体" w:hAnsi="楷体" w:cs="Arial"/>
                <w:bCs/>
                <w:kern w:val="0"/>
                <w:sz w:val="20"/>
                <w:szCs w:val="20"/>
              </w:rPr>
            </w:pPr>
            <w:r w:rsidRPr="00C64AE1">
              <w:rPr>
                <w:rFonts w:ascii="楷体" w:eastAsia="楷体" w:hAnsi="楷体" w:cs="Arial" w:hint="eastAsia"/>
                <w:bCs/>
                <w:kern w:val="0"/>
                <w:sz w:val="20"/>
                <w:szCs w:val="20"/>
              </w:rPr>
              <w:t>-</w:t>
            </w:r>
            <w:r w:rsidR="00B818AB" w:rsidRPr="00C64AE1">
              <w:rPr>
                <w:rFonts w:ascii="楷体" w:eastAsia="楷体" w:hAnsi="楷体" w:cs="Arial" w:hint="eastAsia"/>
                <w:bCs/>
                <w:kern w:val="0"/>
                <w:sz w:val="20"/>
                <w:szCs w:val="20"/>
              </w:rPr>
              <w:t>33.32</w:t>
            </w:r>
            <w:r w:rsidRPr="00C64AE1">
              <w:rPr>
                <w:rFonts w:ascii="楷体" w:eastAsia="楷体" w:hAnsi="楷体" w:cs="Arial"/>
                <w:bCs/>
                <w:kern w:val="0"/>
                <w:sz w:val="20"/>
                <w:szCs w:val="20"/>
              </w:rPr>
              <w:t>%</w:t>
            </w:r>
          </w:p>
        </w:tc>
        <w:tc>
          <w:tcPr>
            <w:tcW w:w="854" w:type="pct"/>
            <w:tcBorders>
              <w:top w:val="single" w:sz="6" w:space="0" w:color="BE0000"/>
              <w:left w:val="dotted" w:sz="4" w:space="0" w:color="auto"/>
              <w:bottom w:val="single" w:sz="6" w:space="0" w:color="BE0000"/>
              <w:right w:val="dotted" w:sz="4" w:space="0" w:color="auto"/>
            </w:tcBorders>
            <w:shd w:val="clear" w:color="000000" w:fill="F2F2F2"/>
            <w:vAlign w:val="center"/>
          </w:tcPr>
          <w:p w:rsidR="00E07D35" w:rsidRPr="00C64AE1" w:rsidRDefault="0050741F" w:rsidP="00B818AB">
            <w:pPr>
              <w:keepNext/>
              <w:keepLines/>
              <w:widowControl/>
              <w:jc w:val="center"/>
              <w:rPr>
                <w:rFonts w:ascii="楷体" w:eastAsia="楷体" w:hAnsi="楷体" w:cs="Arial"/>
                <w:kern w:val="0"/>
                <w:sz w:val="20"/>
                <w:szCs w:val="20"/>
              </w:rPr>
            </w:pPr>
            <w:r w:rsidRPr="00C64AE1">
              <w:rPr>
                <w:rFonts w:ascii="楷体" w:eastAsia="楷体" w:hAnsi="楷体" w:cs="Arial" w:hint="eastAsia"/>
                <w:kern w:val="0"/>
                <w:sz w:val="20"/>
                <w:szCs w:val="20"/>
              </w:rPr>
              <w:t>-</w:t>
            </w:r>
            <w:r w:rsidR="00B818AB" w:rsidRPr="00C64AE1">
              <w:rPr>
                <w:rFonts w:ascii="楷体" w:eastAsia="楷体" w:hAnsi="楷体" w:cs="Arial" w:hint="eastAsia"/>
                <w:kern w:val="0"/>
                <w:sz w:val="20"/>
                <w:szCs w:val="20"/>
              </w:rPr>
              <w:t>37.75</w:t>
            </w:r>
            <w:r w:rsidRPr="00C64AE1">
              <w:rPr>
                <w:rFonts w:ascii="楷体" w:eastAsia="楷体" w:hAnsi="楷体" w:cs="Arial"/>
                <w:kern w:val="0"/>
                <w:sz w:val="20"/>
                <w:szCs w:val="20"/>
              </w:rPr>
              <w:t>%</w:t>
            </w:r>
          </w:p>
        </w:tc>
        <w:tc>
          <w:tcPr>
            <w:tcW w:w="852" w:type="pct"/>
            <w:tcBorders>
              <w:top w:val="single" w:sz="6" w:space="0" w:color="BE0000"/>
              <w:left w:val="dotted" w:sz="4" w:space="0" w:color="auto"/>
              <w:bottom w:val="single" w:sz="6" w:space="0" w:color="BE0000"/>
              <w:right w:val="dotted" w:sz="4" w:space="0" w:color="auto"/>
            </w:tcBorders>
            <w:shd w:val="clear" w:color="000000" w:fill="F2F2F2"/>
          </w:tcPr>
          <w:p w:rsidR="00E07D35" w:rsidRPr="00C64AE1" w:rsidRDefault="0050741F" w:rsidP="00B818AB">
            <w:pPr>
              <w:jc w:val="center"/>
              <w:rPr>
                <w:rFonts w:ascii="楷体" w:eastAsia="楷体" w:hAnsi="楷体" w:cs="宋体"/>
                <w:sz w:val="20"/>
                <w:szCs w:val="20"/>
              </w:rPr>
            </w:pPr>
            <w:r w:rsidRPr="00C64AE1">
              <w:rPr>
                <w:rFonts w:ascii="楷体" w:eastAsia="楷体" w:hAnsi="楷体" w:cs="宋体" w:hint="eastAsia"/>
                <w:sz w:val="20"/>
                <w:szCs w:val="20"/>
              </w:rPr>
              <w:t>-</w:t>
            </w:r>
            <w:r w:rsidR="00B818AB" w:rsidRPr="00C64AE1">
              <w:rPr>
                <w:rFonts w:ascii="楷体" w:eastAsia="楷体" w:hAnsi="楷体" w:cs="宋体" w:hint="eastAsia"/>
                <w:sz w:val="20"/>
                <w:szCs w:val="20"/>
              </w:rPr>
              <w:t>28.65</w:t>
            </w:r>
            <w:r w:rsidRPr="00C64AE1">
              <w:rPr>
                <w:rFonts w:ascii="楷体" w:eastAsia="楷体" w:hAnsi="楷体" w:cs="宋体"/>
                <w:sz w:val="20"/>
                <w:szCs w:val="20"/>
              </w:rPr>
              <w:t>%</w:t>
            </w:r>
          </w:p>
        </w:tc>
      </w:tr>
      <w:tr w:rsidR="0050741F" w:rsidRPr="00C64AE1" w:rsidTr="0050741F">
        <w:trPr>
          <w:trHeight w:val="218"/>
          <w:jc w:val="right"/>
        </w:trPr>
        <w:tc>
          <w:tcPr>
            <w:tcW w:w="894" w:type="pct"/>
            <w:tcBorders>
              <w:top w:val="single" w:sz="6" w:space="0" w:color="BE0000"/>
              <w:left w:val="dotted" w:sz="4" w:space="0" w:color="auto"/>
              <w:bottom w:val="single" w:sz="12" w:space="0" w:color="C00000"/>
              <w:right w:val="dotted" w:sz="4" w:space="0" w:color="auto"/>
            </w:tcBorders>
            <w:shd w:val="clear" w:color="auto" w:fill="FFFFFF" w:themeFill="background1"/>
            <w:vAlign w:val="center"/>
          </w:tcPr>
          <w:p w:rsidR="0050741F" w:rsidRPr="00C64AE1" w:rsidRDefault="0050741F" w:rsidP="00E07D35">
            <w:pPr>
              <w:keepNext/>
              <w:keepLines/>
              <w:widowControl/>
              <w:jc w:val="center"/>
              <w:rPr>
                <w:rFonts w:ascii="楷体" w:eastAsia="楷体" w:hAnsi="楷体" w:cs="Arial"/>
                <w:b/>
                <w:kern w:val="0"/>
                <w:sz w:val="20"/>
                <w:szCs w:val="20"/>
              </w:rPr>
            </w:pPr>
            <w:r w:rsidRPr="00C64AE1">
              <w:rPr>
                <w:rFonts w:ascii="楷体" w:eastAsia="楷体" w:hAnsi="楷体" w:cs="Arial" w:hint="eastAsia"/>
                <w:b/>
                <w:kern w:val="0"/>
                <w:sz w:val="20"/>
                <w:szCs w:val="20"/>
              </w:rPr>
              <w:t>最大跌幅</w:t>
            </w:r>
          </w:p>
        </w:tc>
        <w:tc>
          <w:tcPr>
            <w:tcW w:w="892" w:type="pct"/>
            <w:tcBorders>
              <w:top w:val="single" w:sz="6" w:space="0" w:color="BE0000"/>
              <w:left w:val="dotted" w:sz="4" w:space="0" w:color="auto"/>
              <w:bottom w:val="single" w:sz="12" w:space="0" w:color="C00000"/>
              <w:right w:val="dotted" w:sz="4" w:space="0" w:color="auto"/>
            </w:tcBorders>
            <w:shd w:val="clear" w:color="auto" w:fill="FFFFFF" w:themeFill="background1"/>
            <w:noWrap/>
            <w:vAlign w:val="center"/>
          </w:tcPr>
          <w:p w:rsidR="0050741F" w:rsidRPr="00C64AE1" w:rsidRDefault="00A03DEC" w:rsidP="00E07D35">
            <w:pPr>
              <w:jc w:val="center"/>
              <w:rPr>
                <w:rFonts w:ascii="楷体" w:eastAsia="楷体" w:hAnsi="楷体" w:cs="Arial"/>
                <w:kern w:val="0"/>
                <w:sz w:val="20"/>
                <w:szCs w:val="20"/>
              </w:rPr>
            </w:pPr>
            <w:r w:rsidRPr="00C64AE1">
              <w:rPr>
                <w:rFonts w:ascii="楷体" w:eastAsia="楷体" w:hAnsi="楷体" w:cs="Arial" w:hint="eastAsia"/>
                <w:kern w:val="0"/>
                <w:sz w:val="20"/>
                <w:szCs w:val="20"/>
              </w:rPr>
              <w:t>3</w:t>
            </w:r>
            <w:r w:rsidRPr="00C64AE1">
              <w:rPr>
                <w:rFonts w:ascii="楷体" w:eastAsia="楷体" w:hAnsi="楷体" w:cs="Arial"/>
                <w:kern w:val="0"/>
                <w:sz w:val="20"/>
                <w:szCs w:val="20"/>
              </w:rPr>
              <w:t>1.71%</w:t>
            </w:r>
          </w:p>
        </w:tc>
        <w:tc>
          <w:tcPr>
            <w:tcW w:w="654" w:type="pct"/>
            <w:tcBorders>
              <w:top w:val="single" w:sz="6" w:space="0" w:color="BE0000"/>
              <w:left w:val="dotted" w:sz="4" w:space="0" w:color="auto"/>
              <w:bottom w:val="single" w:sz="12" w:space="0" w:color="C00000"/>
              <w:right w:val="dotted" w:sz="4" w:space="0" w:color="auto"/>
            </w:tcBorders>
            <w:shd w:val="clear" w:color="auto" w:fill="FFFFFF" w:themeFill="background1"/>
            <w:noWrap/>
            <w:vAlign w:val="center"/>
          </w:tcPr>
          <w:p w:rsidR="0050741F" w:rsidRPr="00C64AE1" w:rsidRDefault="00AF6D0F" w:rsidP="00E07D35">
            <w:pPr>
              <w:jc w:val="center"/>
              <w:rPr>
                <w:rFonts w:ascii="楷体" w:eastAsia="楷体" w:hAnsi="楷体" w:cs="Arial"/>
                <w:kern w:val="0"/>
                <w:sz w:val="20"/>
                <w:szCs w:val="20"/>
              </w:rPr>
            </w:pPr>
            <w:r w:rsidRPr="00C64AE1">
              <w:rPr>
                <w:rFonts w:ascii="楷体" w:eastAsia="楷体" w:hAnsi="楷体" w:cs="Arial" w:hint="eastAsia"/>
                <w:kern w:val="0"/>
                <w:sz w:val="20"/>
                <w:szCs w:val="20"/>
              </w:rPr>
              <w:t>3</w:t>
            </w:r>
            <w:r w:rsidRPr="00C64AE1">
              <w:rPr>
                <w:rFonts w:ascii="楷体" w:eastAsia="楷体" w:hAnsi="楷体" w:cs="Arial"/>
                <w:kern w:val="0"/>
                <w:sz w:val="20"/>
                <w:szCs w:val="20"/>
              </w:rPr>
              <w:t>1.65%</w:t>
            </w:r>
          </w:p>
        </w:tc>
        <w:tc>
          <w:tcPr>
            <w:tcW w:w="854" w:type="pct"/>
            <w:tcBorders>
              <w:top w:val="single" w:sz="6" w:space="0" w:color="BE0000"/>
              <w:left w:val="dotted" w:sz="4" w:space="0" w:color="auto"/>
              <w:bottom w:val="single" w:sz="12" w:space="0" w:color="C00000"/>
              <w:right w:val="dotted" w:sz="4" w:space="0" w:color="auto"/>
            </w:tcBorders>
            <w:shd w:val="clear" w:color="auto" w:fill="FFFFFF" w:themeFill="background1"/>
            <w:noWrap/>
            <w:vAlign w:val="center"/>
          </w:tcPr>
          <w:p w:rsidR="0050741F" w:rsidRPr="00C64AE1" w:rsidRDefault="00AF6D0F" w:rsidP="00E07D35">
            <w:pPr>
              <w:keepNext/>
              <w:keepLines/>
              <w:widowControl/>
              <w:jc w:val="center"/>
              <w:rPr>
                <w:rFonts w:ascii="楷体" w:eastAsia="楷体" w:hAnsi="楷体" w:cs="Arial"/>
                <w:kern w:val="0"/>
                <w:sz w:val="20"/>
                <w:szCs w:val="20"/>
              </w:rPr>
            </w:pPr>
            <w:r w:rsidRPr="00C64AE1">
              <w:rPr>
                <w:rFonts w:ascii="楷体" w:eastAsia="楷体" w:hAnsi="楷体" w:cs="Arial" w:hint="eastAsia"/>
                <w:kern w:val="0"/>
                <w:sz w:val="20"/>
                <w:szCs w:val="20"/>
              </w:rPr>
              <w:t>3</w:t>
            </w:r>
            <w:r w:rsidRPr="00C64AE1">
              <w:rPr>
                <w:rFonts w:ascii="楷体" w:eastAsia="楷体" w:hAnsi="楷体" w:cs="Arial"/>
                <w:kern w:val="0"/>
                <w:sz w:val="20"/>
                <w:szCs w:val="20"/>
              </w:rPr>
              <w:t>8.18%</w:t>
            </w:r>
          </w:p>
        </w:tc>
        <w:tc>
          <w:tcPr>
            <w:tcW w:w="854" w:type="pct"/>
            <w:tcBorders>
              <w:top w:val="single" w:sz="6" w:space="0" w:color="BE0000"/>
              <w:left w:val="dotted" w:sz="4" w:space="0" w:color="auto"/>
              <w:bottom w:val="single" w:sz="12" w:space="0" w:color="C00000"/>
              <w:right w:val="dotted" w:sz="4" w:space="0" w:color="auto"/>
            </w:tcBorders>
            <w:shd w:val="clear" w:color="auto" w:fill="FFFFFF" w:themeFill="background1"/>
            <w:vAlign w:val="center"/>
          </w:tcPr>
          <w:p w:rsidR="0050741F" w:rsidRPr="00C64AE1" w:rsidRDefault="00AF6D0F" w:rsidP="00E07D35">
            <w:pPr>
              <w:keepNext/>
              <w:keepLines/>
              <w:widowControl/>
              <w:jc w:val="center"/>
              <w:rPr>
                <w:rFonts w:ascii="楷体" w:eastAsia="楷体" w:hAnsi="楷体" w:cs="Arial"/>
                <w:kern w:val="0"/>
                <w:sz w:val="20"/>
                <w:szCs w:val="20"/>
              </w:rPr>
            </w:pPr>
            <w:r w:rsidRPr="00C64AE1">
              <w:rPr>
                <w:rFonts w:ascii="楷体" w:eastAsia="楷体" w:hAnsi="楷体" w:cs="Arial" w:hint="eastAsia"/>
                <w:kern w:val="0"/>
                <w:sz w:val="20"/>
                <w:szCs w:val="20"/>
              </w:rPr>
              <w:t>3</w:t>
            </w:r>
            <w:r w:rsidRPr="00C64AE1">
              <w:rPr>
                <w:rFonts w:ascii="楷体" w:eastAsia="楷体" w:hAnsi="楷体" w:cs="Arial"/>
                <w:kern w:val="0"/>
                <w:sz w:val="20"/>
                <w:szCs w:val="20"/>
              </w:rPr>
              <w:t>8.22%</w:t>
            </w:r>
          </w:p>
        </w:tc>
        <w:tc>
          <w:tcPr>
            <w:tcW w:w="852" w:type="pct"/>
            <w:tcBorders>
              <w:top w:val="single" w:sz="6" w:space="0" w:color="BE0000"/>
              <w:left w:val="dotted" w:sz="4" w:space="0" w:color="auto"/>
              <w:bottom w:val="single" w:sz="12" w:space="0" w:color="C00000"/>
              <w:right w:val="dotted" w:sz="4" w:space="0" w:color="auto"/>
            </w:tcBorders>
            <w:shd w:val="clear" w:color="auto" w:fill="FFFFFF" w:themeFill="background1"/>
          </w:tcPr>
          <w:p w:rsidR="0050741F" w:rsidRPr="00C64AE1" w:rsidRDefault="00AF6D0F" w:rsidP="00E07D35">
            <w:pPr>
              <w:jc w:val="center"/>
              <w:rPr>
                <w:rFonts w:ascii="楷体" w:eastAsia="楷体" w:hAnsi="楷体" w:cs="Arial"/>
                <w:kern w:val="0"/>
                <w:sz w:val="20"/>
                <w:szCs w:val="20"/>
              </w:rPr>
            </w:pPr>
            <w:r w:rsidRPr="00C64AE1">
              <w:rPr>
                <w:rFonts w:ascii="楷体" w:eastAsia="楷体" w:hAnsi="楷体" w:cs="Arial" w:hint="eastAsia"/>
                <w:kern w:val="0"/>
                <w:sz w:val="20"/>
                <w:szCs w:val="20"/>
              </w:rPr>
              <w:t>3</w:t>
            </w:r>
            <w:r w:rsidRPr="00C64AE1">
              <w:rPr>
                <w:rFonts w:ascii="楷体" w:eastAsia="楷体" w:hAnsi="楷体" w:cs="Arial"/>
                <w:kern w:val="0"/>
                <w:sz w:val="20"/>
                <w:szCs w:val="20"/>
              </w:rPr>
              <w:t>8.77%</w:t>
            </w:r>
          </w:p>
        </w:tc>
      </w:tr>
    </w:tbl>
    <w:bookmarkEnd w:id="5"/>
    <w:p w:rsidR="00E07D35" w:rsidRPr="00C64AE1" w:rsidRDefault="00E07D35" w:rsidP="00F73EAE">
      <w:pPr>
        <w:ind w:leftChars="200" w:left="420" w:firstLineChars="150" w:firstLine="300"/>
        <w:rPr>
          <w:rFonts w:ascii="楷体" w:eastAsia="楷体" w:hAnsi="楷体" w:cs="Arial"/>
          <w:sz w:val="20"/>
          <w:szCs w:val="20"/>
        </w:rPr>
      </w:pPr>
      <w:r w:rsidRPr="00C64AE1">
        <w:rPr>
          <w:rFonts w:ascii="楷体" w:eastAsia="楷体" w:hAnsi="楷体" w:cs="Arial" w:hint="eastAsia"/>
          <w:sz w:val="20"/>
          <w:szCs w:val="20"/>
        </w:rPr>
        <w:t>资料来源：Wind，中山证券研究所</w:t>
      </w:r>
      <w:r w:rsidR="00394DCC" w:rsidRPr="00C64AE1">
        <w:rPr>
          <w:rFonts w:ascii="楷体" w:eastAsia="楷体" w:hAnsi="楷体" w:cs="Arial" w:hint="eastAsia"/>
          <w:sz w:val="20"/>
          <w:szCs w:val="20"/>
        </w:rPr>
        <w:t>，最大跌幅：2</w:t>
      </w:r>
      <w:r w:rsidR="00394DCC" w:rsidRPr="00C64AE1">
        <w:rPr>
          <w:rFonts w:ascii="楷体" w:eastAsia="楷体" w:hAnsi="楷体" w:cs="Arial"/>
          <w:sz w:val="20"/>
          <w:szCs w:val="20"/>
        </w:rPr>
        <w:t>018</w:t>
      </w:r>
      <w:r w:rsidR="00394DCC" w:rsidRPr="00C64AE1">
        <w:rPr>
          <w:rFonts w:ascii="楷体" w:eastAsia="楷体" w:hAnsi="楷体" w:cs="Arial" w:hint="eastAsia"/>
          <w:sz w:val="20"/>
          <w:szCs w:val="20"/>
        </w:rPr>
        <w:t>年以来，（最高价-最低价）/最高价*</w:t>
      </w:r>
      <w:r w:rsidR="00394DCC" w:rsidRPr="00C64AE1">
        <w:rPr>
          <w:rFonts w:ascii="楷体" w:eastAsia="楷体" w:hAnsi="楷体" w:cs="Arial"/>
          <w:sz w:val="20"/>
          <w:szCs w:val="20"/>
        </w:rPr>
        <w:t>100%</w:t>
      </w:r>
    </w:p>
    <w:p w:rsidR="00290DC4" w:rsidRPr="00C64AE1" w:rsidRDefault="00290DC4" w:rsidP="00B65DFE">
      <w:pPr>
        <w:spacing w:line="60" w:lineRule="exact"/>
      </w:pPr>
    </w:p>
    <w:p w:rsidR="005C1B84" w:rsidRPr="00C64AE1" w:rsidRDefault="00C32DD7"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股指全面下跌，其主旨逻辑主要如下</w:t>
      </w:r>
      <w:r w:rsidR="00E66B7C" w:rsidRPr="00C64AE1">
        <w:rPr>
          <w:rFonts w:ascii="楷体" w:eastAsia="楷体" w:hAnsi="楷体" w:cs="Times New Roman" w:hint="eastAsia"/>
        </w:rPr>
        <w:t>：其一，</w:t>
      </w:r>
      <w:r w:rsidR="00982EBA" w:rsidRPr="00C64AE1">
        <w:rPr>
          <w:rFonts w:ascii="楷体" w:eastAsia="楷体" w:hAnsi="楷体" w:cs="Times New Roman" w:hint="eastAsia"/>
        </w:rPr>
        <w:t>《资管新</w:t>
      </w:r>
      <w:r w:rsidR="00B65DFE" w:rsidRPr="00C64AE1">
        <w:rPr>
          <w:rFonts w:ascii="楷体" w:eastAsia="楷体" w:hAnsi="楷体" w:cs="Times New Roman" w:hint="eastAsia"/>
        </w:rPr>
        <w:t>规》强化行业规则，</w:t>
      </w:r>
      <w:r w:rsidR="00602C5B" w:rsidRPr="00C64AE1">
        <w:rPr>
          <w:rFonts w:ascii="楷体" w:eastAsia="楷体" w:hAnsi="楷体" w:cs="Times New Roman" w:hint="eastAsia"/>
        </w:rPr>
        <w:t>去</w:t>
      </w:r>
      <w:r w:rsidR="008C081D" w:rsidRPr="00C64AE1">
        <w:rPr>
          <w:rFonts w:ascii="楷体" w:eastAsia="楷体" w:hAnsi="楷体" w:cs="Times New Roman" w:hint="eastAsia"/>
        </w:rPr>
        <w:t>杠杆加剧</w:t>
      </w:r>
      <w:r w:rsidR="00B65DFE" w:rsidRPr="00C64AE1">
        <w:rPr>
          <w:rFonts w:ascii="楷体" w:eastAsia="楷体" w:hAnsi="楷体" w:cs="Times New Roman" w:hint="eastAsia"/>
        </w:rPr>
        <w:t>股指下行，</w:t>
      </w:r>
      <w:r w:rsidR="00242FF0" w:rsidRPr="00C64AE1">
        <w:rPr>
          <w:rFonts w:ascii="楷体" w:eastAsia="楷体" w:hAnsi="楷体" w:cs="Times New Roman" w:hint="eastAsia"/>
        </w:rPr>
        <w:t>私</w:t>
      </w:r>
      <w:r w:rsidR="0001125A" w:rsidRPr="00C64AE1">
        <w:rPr>
          <w:rFonts w:ascii="楷体" w:eastAsia="楷体" w:hAnsi="楷体" w:cs="Times New Roman" w:hint="eastAsia"/>
        </w:rPr>
        <w:t>募</w:t>
      </w:r>
      <w:r w:rsidR="00B65DFE" w:rsidRPr="00C64AE1">
        <w:rPr>
          <w:rFonts w:ascii="楷体" w:eastAsia="楷体" w:hAnsi="楷体" w:cs="Times New Roman" w:hint="eastAsia"/>
        </w:rPr>
        <w:t>机构</w:t>
      </w:r>
      <w:r w:rsidR="0001125A" w:rsidRPr="00C64AE1">
        <w:rPr>
          <w:rFonts w:ascii="楷体" w:eastAsia="楷体" w:hAnsi="楷体" w:cs="Times New Roman" w:hint="eastAsia"/>
        </w:rPr>
        <w:t>主动或被动</w:t>
      </w:r>
      <w:r w:rsidR="00B65DFE" w:rsidRPr="00C64AE1">
        <w:rPr>
          <w:rFonts w:ascii="楷体" w:eastAsia="楷体" w:hAnsi="楷体" w:cs="Times New Roman" w:hint="eastAsia"/>
        </w:rPr>
        <w:t>清盘</w:t>
      </w:r>
      <w:r w:rsidR="0001125A" w:rsidRPr="00C64AE1">
        <w:rPr>
          <w:rFonts w:ascii="楷体" w:eastAsia="楷体" w:hAnsi="楷体" w:cs="Times New Roman" w:hint="eastAsia"/>
        </w:rPr>
        <w:t>例数</w:t>
      </w:r>
      <w:r w:rsidR="00B65DFE" w:rsidRPr="00C64AE1">
        <w:rPr>
          <w:rFonts w:ascii="楷体" w:eastAsia="楷体" w:hAnsi="楷体" w:cs="Times New Roman" w:hint="eastAsia"/>
        </w:rPr>
        <w:t>明显</w:t>
      </w:r>
      <w:r w:rsidR="0001125A" w:rsidRPr="00C64AE1">
        <w:rPr>
          <w:rFonts w:ascii="楷体" w:eastAsia="楷体" w:hAnsi="楷体" w:cs="Times New Roman" w:hint="eastAsia"/>
        </w:rPr>
        <w:t>增加</w:t>
      </w:r>
      <w:r w:rsidR="00B65DFE" w:rsidRPr="00C64AE1">
        <w:rPr>
          <w:rFonts w:ascii="楷体" w:eastAsia="楷体" w:hAnsi="楷体" w:cs="Times New Roman" w:hint="eastAsia"/>
        </w:rPr>
        <w:t>，</w:t>
      </w:r>
      <w:r w:rsidR="00602C5B" w:rsidRPr="00C64AE1">
        <w:rPr>
          <w:rFonts w:ascii="楷体" w:eastAsia="楷体" w:hAnsi="楷体" w:cs="Times New Roman" w:hint="eastAsia"/>
        </w:rPr>
        <w:t>公募机构持续减仓，</w:t>
      </w:r>
      <w:r w:rsidR="004D623E" w:rsidRPr="00C64AE1">
        <w:rPr>
          <w:rFonts w:ascii="楷体" w:eastAsia="楷体" w:hAnsi="楷体" w:cs="Times New Roman" w:hint="eastAsia"/>
        </w:rPr>
        <w:t>主力资金持续净流出，</w:t>
      </w:r>
      <w:r w:rsidR="00B65DFE" w:rsidRPr="00C64AE1">
        <w:rPr>
          <w:rFonts w:ascii="楷体" w:eastAsia="楷体" w:hAnsi="楷体" w:cs="Times New Roman" w:hint="eastAsia"/>
        </w:rPr>
        <w:t>市场</w:t>
      </w:r>
      <w:r w:rsidR="0021738A" w:rsidRPr="00C64AE1">
        <w:rPr>
          <w:rFonts w:ascii="楷体" w:eastAsia="楷体" w:hAnsi="楷体" w:cs="Times New Roman" w:hint="eastAsia"/>
        </w:rPr>
        <w:t>以存量中的缩量博弈为主，</w:t>
      </w:r>
      <w:r w:rsidR="00B65DFE" w:rsidRPr="00C64AE1">
        <w:rPr>
          <w:rFonts w:ascii="楷体" w:eastAsia="楷体" w:hAnsi="楷体" w:cs="Times New Roman" w:hint="eastAsia"/>
        </w:rPr>
        <w:t>“</w:t>
      </w:r>
      <w:r w:rsidR="004D623E" w:rsidRPr="00C64AE1">
        <w:rPr>
          <w:rFonts w:ascii="楷体" w:eastAsia="楷体" w:hAnsi="楷体" w:cs="Times New Roman" w:hint="eastAsia"/>
        </w:rPr>
        <w:t>新鲜血液</w:t>
      </w:r>
      <w:r w:rsidR="00B65DFE" w:rsidRPr="00C64AE1">
        <w:rPr>
          <w:rFonts w:ascii="楷体" w:eastAsia="楷体" w:hAnsi="楷体" w:cs="Times New Roman" w:hint="eastAsia"/>
        </w:rPr>
        <w:t>”</w:t>
      </w:r>
      <w:r w:rsidR="004D623E" w:rsidRPr="00C64AE1">
        <w:rPr>
          <w:rFonts w:ascii="楷体" w:eastAsia="楷体" w:hAnsi="楷体" w:cs="Times New Roman" w:hint="eastAsia"/>
        </w:rPr>
        <w:t>及相关动能</w:t>
      </w:r>
      <w:r w:rsidR="00B65DFE" w:rsidRPr="00C64AE1">
        <w:rPr>
          <w:rFonts w:ascii="楷体" w:eastAsia="楷体" w:hAnsi="楷体" w:cs="Times New Roman" w:hint="eastAsia"/>
        </w:rPr>
        <w:t>不足</w:t>
      </w:r>
      <w:r w:rsidR="0001125A" w:rsidRPr="00C64AE1">
        <w:rPr>
          <w:rFonts w:ascii="楷体" w:eastAsia="楷体" w:hAnsi="楷体" w:cs="Times New Roman" w:hint="eastAsia"/>
        </w:rPr>
        <w:t>打压市场信心</w:t>
      </w:r>
      <w:r w:rsidR="00B65DFE" w:rsidRPr="00C64AE1">
        <w:rPr>
          <w:rFonts w:ascii="楷体" w:eastAsia="楷体" w:hAnsi="楷体" w:cs="Times New Roman" w:hint="eastAsia"/>
        </w:rPr>
        <w:t>；</w:t>
      </w:r>
      <w:r w:rsidR="00282B17" w:rsidRPr="00C64AE1">
        <w:rPr>
          <w:rFonts w:ascii="楷体" w:eastAsia="楷体" w:hAnsi="楷体" w:cs="Times New Roman" w:hint="eastAsia"/>
        </w:rPr>
        <w:t>其二</w:t>
      </w:r>
      <w:r w:rsidR="00B65DFE" w:rsidRPr="00C64AE1">
        <w:rPr>
          <w:rFonts w:ascii="楷体" w:eastAsia="楷体" w:hAnsi="楷体" w:cs="Times New Roman" w:hint="eastAsia"/>
        </w:rPr>
        <w:t>，以中美</w:t>
      </w:r>
      <w:r w:rsidR="004D623E" w:rsidRPr="00C64AE1">
        <w:rPr>
          <w:rFonts w:ascii="楷体" w:eastAsia="楷体" w:hAnsi="楷体" w:cs="Times New Roman" w:hint="eastAsia"/>
        </w:rPr>
        <w:t>贸易战为主线，市场对中国经济的相对悲观预期，对股指形成持久打压</w:t>
      </w:r>
      <w:r w:rsidR="000C678D" w:rsidRPr="00C64AE1">
        <w:rPr>
          <w:rFonts w:ascii="楷体" w:eastAsia="楷体" w:hAnsi="楷体" w:cs="Times New Roman" w:hint="eastAsia"/>
        </w:rPr>
        <w:t>。</w:t>
      </w:r>
      <w:r w:rsidR="00B65DFE" w:rsidRPr="00C64AE1">
        <w:rPr>
          <w:rFonts w:ascii="楷体" w:eastAsia="楷体" w:hAnsi="楷体" w:cs="Times New Roman" w:hint="eastAsia"/>
        </w:rPr>
        <w:t>其三，美联储持续加息、缩表以及其预期，在以美国利益为中心的驱动下，加剧新兴经济体资金外流（比如外汇储备连续下降等），</w:t>
      </w:r>
      <w:r w:rsidR="00832AEF" w:rsidRPr="00C64AE1">
        <w:rPr>
          <w:rFonts w:ascii="楷体" w:eastAsia="楷体" w:hAnsi="楷体" w:cs="Times New Roman" w:hint="eastAsia"/>
        </w:rPr>
        <w:t>恶化经济基本面，打压市场预期</w:t>
      </w:r>
      <w:r w:rsidR="00B65DFE" w:rsidRPr="00C64AE1">
        <w:rPr>
          <w:rFonts w:ascii="楷体" w:eastAsia="楷体" w:hAnsi="楷体" w:cs="Times New Roman" w:hint="eastAsia"/>
        </w:rPr>
        <w:t>。其四，融资融券持续下</w:t>
      </w:r>
      <w:r w:rsidR="00B65DFE" w:rsidRPr="00C64AE1">
        <w:rPr>
          <w:rFonts w:ascii="楷体" w:eastAsia="楷体" w:hAnsi="楷体" w:cs="Times New Roman" w:hint="eastAsia"/>
        </w:rPr>
        <w:lastRenderedPageBreak/>
        <w:t>行</w:t>
      </w:r>
      <w:r w:rsidR="00AD6320" w:rsidRPr="00C64AE1">
        <w:rPr>
          <w:rFonts w:ascii="楷体" w:eastAsia="楷体" w:hAnsi="楷体" w:cs="Times New Roman" w:hint="eastAsia"/>
        </w:rPr>
        <w:t>且趋势延续</w:t>
      </w:r>
      <w:r w:rsidR="00DE2643" w:rsidRPr="00C64AE1">
        <w:rPr>
          <w:rFonts w:ascii="楷体" w:eastAsia="楷体" w:hAnsi="楷体" w:cs="Times New Roman" w:hint="eastAsia"/>
        </w:rPr>
        <w:t>（如图2）</w:t>
      </w:r>
      <w:r w:rsidR="00AD6320" w:rsidRPr="00C64AE1">
        <w:rPr>
          <w:rFonts w:ascii="楷体" w:eastAsia="楷体" w:hAnsi="楷体" w:cs="Times New Roman" w:hint="eastAsia"/>
        </w:rPr>
        <w:t>，</w:t>
      </w:r>
      <w:r w:rsidR="00602C5B" w:rsidRPr="00C64AE1">
        <w:rPr>
          <w:rFonts w:ascii="楷体" w:eastAsia="楷体" w:hAnsi="楷体" w:cs="Times New Roman" w:hint="eastAsia"/>
        </w:rPr>
        <w:t>解禁市值不断创新高，</w:t>
      </w:r>
      <w:r w:rsidR="00B65DFE" w:rsidRPr="00C64AE1">
        <w:rPr>
          <w:rFonts w:ascii="楷体" w:eastAsia="楷体" w:hAnsi="楷体" w:cs="Times New Roman" w:hint="eastAsia"/>
        </w:rPr>
        <w:t>市场信心不足凸现；其五，股权质押风险</w:t>
      </w:r>
      <w:r w:rsidR="00DE2643" w:rsidRPr="00C64AE1">
        <w:rPr>
          <w:rFonts w:ascii="楷体" w:eastAsia="楷体" w:hAnsi="楷体" w:cs="Times New Roman" w:hint="eastAsia"/>
        </w:rPr>
        <w:t>（如图3、图4）</w:t>
      </w:r>
      <w:r w:rsidR="00AD6320" w:rsidRPr="00C64AE1">
        <w:rPr>
          <w:rFonts w:ascii="楷体" w:eastAsia="楷体" w:hAnsi="楷体" w:cs="Times New Roman" w:hint="eastAsia"/>
        </w:rPr>
        <w:t>、债权违约事件</w:t>
      </w:r>
      <w:r w:rsidR="004D623E" w:rsidRPr="00C64AE1">
        <w:rPr>
          <w:rFonts w:ascii="楷体" w:eastAsia="楷体" w:hAnsi="楷体" w:cs="Times New Roman" w:hint="eastAsia"/>
        </w:rPr>
        <w:t>间歇不断</w:t>
      </w:r>
      <w:r w:rsidR="00AD6320" w:rsidRPr="00C64AE1">
        <w:rPr>
          <w:rFonts w:ascii="楷体" w:eastAsia="楷体" w:hAnsi="楷体" w:cs="Times New Roman" w:hint="eastAsia"/>
        </w:rPr>
        <w:t>，资本市场偶现或可能存在的</w:t>
      </w:r>
      <w:r w:rsidR="00862070" w:rsidRPr="00C64AE1">
        <w:rPr>
          <w:rFonts w:ascii="楷体" w:eastAsia="楷体" w:hAnsi="楷体" w:cs="Times New Roman" w:hint="eastAsia"/>
        </w:rPr>
        <w:t>潜在风险</w:t>
      </w:r>
      <w:r w:rsidR="0021738A" w:rsidRPr="00C64AE1">
        <w:rPr>
          <w:rFonts w:ascii="楷体" w:eastAsia="楷体" w:hAnsi="楷体" w:cs="Times New Roman" w:hint="eastAsia"/>
        </w:rPr>
        <w:t>恶化</w:t>
      </w:r>
      <w:r w:rsidR="004D623E" w:rsidRPr="00C64AE1">
        <w:rPr>
          <w:rFonts w:ascii="楷体" w:eastAsia="楷体" w:hAnsi="楷体" w:cs="Times New Roman" w:hint="eastAsia"/>
        </w:rPr>
        <w:t>等</w:t>
      </w:r>
      <w:r w:rsidR="00AD6320" w:rsidRPr="00C64AE1">
        <w:rPr>
          <w:rFonts w:ascii="楷体" w:eastAsia="楷体" w:hAnsi="楷体" w:cs="Times New Roman" w:hint="eastAsia"/>
        </w:rPr>
        <w:t>问题，</w:t>
      </w:r>
      <w:r w:rsidR="00B65DFE" w:rsidRPr="00C64AE1">
        <w:rPr>
          <w:rFonts w:ascii="楷体" w:eastAsia="楷体" w:hAnsi="楷体" w:cs="Times New Roman" w:hint="eastAsia"/>
        </w:rPr>
        <w:t>弱化政策</w:t>
      </w:r>
      <w:r w:rsidR="00832AEF" w:rsidRPr="00C64AE1">
        <w:rPr>
          <w:rFonts w:ascii="楷体" w:eastAsia="楷体" w:hAnsi="楷体" w:cs="Times New Roman" w:hint="eastAsia"/>
        </w:rPr>
        <w:t>效果及其</w:t>
      </w:r>
      <w:r w:rsidR="00B65DFE" w:rsidRPr="00C64AE1">
        <w:rPr>
          <w:rFonts w:ascii="楷体" w:eastAsia="楷体" w:hAnsi="楷体" w:cs="Times New Roman" w:hint="eastAsia"/>
        </w:rPr>
        <w:t>预期</w:t>
      </w:r>
      <w:r w:rsidR="004D623E" w:rsidRPr="00C64AE1">
        <w:rPr>
          <w:rFonts w:ascii="楷体" w:eastAsia="楷体" w:hAnsi="楷体" w:cs="Times New Roman" w:hint="eastAsia"/>
        </w:rPr>
        <w:t>，市场反弹动能不足</w:t>
      </w:r>
      <w:r w:rsidR="00B65DFE" w:rsidRPr="00C64AE1">
        <w:rPr>
          <w:rFonts w:ascii="楷体" w:eastAsia="楷体" w:hAnsi="楷体" w:cs="Times New Roman" w:hint="eastAsia"/>
        </w:rPr>
        <w:t>。</w:t>
      </w:r>
    </w:p>
    <w:tbl>
      <w:tblPr>
        <w:tblW w:w="10214" w:type="dxa"/>
        <w:tblInd w:w="284" w:type="dxa"/>
        <w:tblBorders>
          <w:insideH w:val="double" w:sz="4" w:space="0" w:color="333399"/>
          <w:insideV w:val="double" w:sz="4" w:space="0" w:color="333399"/>
        </w:tblBorders>
        <w:tblLayout w:type="fixed"/>
        <w:tblCellMar>
          <w:left w:w="0" w:type="dxa"/>
          <w:right w:w="0" w:type="dxa"/>
        </w:tblCellMar>
        <w:tblLook w:val="04A0"/>
      </w:tblPr>
      <w:tblGrid>
        <w:gridCol w:w="10214"/>
      </w:tblGrid>
      <w:tr w:rsidR="00DE2643" w:rsidRPr="00C64AE1" w:rsidTr="00FE0EF8">
        <w:trPr>
          <w:trHeight w:val="311"/>
        </w:trPr>
        <w:tc>
          <w:tcPr>
            <w:tcW w:w="10214" w:type="dxa"/>
            <w:tcBorders>
              <w:top w:val="nil"/>
              <w:bottom w:val="single" w:sz="12" w:space="0" w:color="CC0000"/>
            </w:tcBorders>
            <w:shd w:val="clear" w:color="auto" w:fill="auto"/>
            <w:vAlign w:val="bottom"/>
          </w:tcPr>
          <w:p w:rsidR="00DE2643" w:rsidRPr="00C64AE1" w:rsidRDefault="00DE2643" w:rsidP="00FE0EF8">
            <w:pPr>
              <w:keepNext/>
              <w:keepLines/>
              <w:rPr>
                <w:rFonts w:ascii="楷体" w:eastAsia="楷体" w:hAnsi="楷体" w:cs="Times New Roman"/>
                <w:sz w:val="20"/>
                <w:szCs w:val="20"/>
              </w:rPr>
            </w:pPr>
            <w:r w:rsidRPr="00C64AE1">
              <w:rPr>
                <w:rFonts w:ascii="楷体" w:eastAsia="楷体" w:hAnsi="楷体" w:cs="Times New Roman"/>
                <w:sz w:val="20"/>
                <w:szCs w:val="20"/>
              </w:rPr>
              <w:t>图</w:t>
            </w:r>
            <w:r w:rsidRPr="00C64AE1">
              <w:rPr>
                <w:rFonts w:ascii="楷体" w:eastAsia="楷体" w:hAnsi="楷体" w:cs="Times New Roman" w:hint="eastAsia"/>
                <w:sz w:val="20"/>
                <w:szCs w:val="20"/>
              </w:rPr>
              <w:t>2</w:t>
            </w:r>
            <w:r w:rsidRPr="00C64AE1">
              <w:rPr>
                <w:rFonts w:ascii="楷体" w:eastAsia="楷体" w:hAnsi="楷体" w:cs="Times New Roman"/>
                <w:sz w:val="20"/>
                <w:szCs w:val="20"/>
              </w:rPr>
              <w:t xml:space="preserve"> </w:t>
            </w:r>
            <w:r w:rsidRPr="00C64AE1">
              <w:rPr>
                <w:rFonts w:ascii="楷体" w:eastAsia="楷体" w:hAnsi="楷体" w:cs="Times New Roman" w:hint="eastAsia"/>
                <w:sz w:val="20"/>
                <w:szCs w:val="20"/>
              </w:rPr>
              <w:t>（2018年以来沪深两市融资融券趋势图）</w:t>
            </w:r>
          </w:p>
        </w:tc>
      </w:tr>
      <w:tr w:rsidR="00DE2643" w:rsidRPr="00C64AE1" w:rsidTr="00FE0EF8">
        <w:tblPrEx>
          <w:tblCellMar>
            <w:left w:w="108" w:type="dxa"/>
            <w:right w:w="108" w:type="dxa"/>
          </w:tblCellMar>
        </w:tblPrEx>
        <w:trPr>
          <w:trHeight w:hRule="exact" w:val="1696"/>
        </w:trPr>
        <w:tc>
          <w:tcPr>
            <w:tcW w:w="10214" w:type="dxa"/>
            <w:tcBorders>
              <w:top w:val="single" w:sz="12" w:space="0" w:color="CC0000"/>
              <w:bottom w:val="single" w:sz="12" w:space="0" w:color="CC0000"/>
            </w:tcBorders>
            <w:shd w:val="clear" w:color="auto" w:fill="auto"/>
          </w:tcPr>
          <w:p w:rsidR="00DE2643" w:rsidRPr="00C64AE1" w:rsidRDefault="00DE2643" w:rsidP="00FE0EF8">
            <w:pPr>
              <w:keepNext/>
              <w:keepLines/>
              <w:ind w:leftChars="-793" w:hangingChars="793" w:hanging="1665"/>
              <w:jc w:val="right"/>
              <w:rPr>
                <w:rFonts w:ascii="楷体" w:eastAsia="楷体" w:hAnsi="楷体" w:cs="Times New Roman"/>
                <w:szCs w:val="21"/>
              </w:rPr>
            </w:pPr>
            <w:r w:rsidRPr="00C64AE1">
              <w:rPr>
                <w:rFonts w:ascii="楷体" w:eastAsia="楷体" w:hAnsi="楷体" w:cs="Times New Roman"/>
                <w:noProof/>
                <w:szCs w:val="21"/>
              </w:rPr>
              <w:drawing>
                <wp:inline distT="0" distB="0" distL="0" distR="0">
                  <wp:extent cx="6429375" cy="1028700"/>
                  <wp:effectExtent l="19050" t="0" r="952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429375" cy="1028700"/>
                          </a:xfrm>
                          <a:prstGeom prst="rect">
                            <a:avLst/>
                          </a:prstGeom>
                          <a:noFill/>
                          <a:ln w="9525">
                            <a:noFill/>
                            <a:miter lim="800000"/>
                            <a:headEnd/>
                            <a:tailEnd/>
                          </a:ln>
                        </pic:spPr>
                      </pic:pic>
                    </a:graphicData>
                  </a:graphic>
                </wp:inline>
              </w:drawing>
            </w:r>
          </w:p>
        </w:tc>
      </w:tr>
      <w:tr w:rsidR="00DE2643" w:rsidRPr="00C64AE1" w:rsidTr="00FE0EF8">
        <w:trPr>
          <w:trHeight w:val="311"/>
        </w:trPr>
        <w:tc>
          <w:tcPr>
            <w:tcW w:w="10214" w:type="dxa"/>
            <w:tcBorders>
              <w:top w:val="single" w:sz="12" w:space="0" w:color="CC0000"/>
              <w:bottom w:val="nil"/>
            </w:tcBorders>
            <w:shd w:val="clear" w:color="auto" w:fill="auto"/>
            <w:vAlign w:val="bottom"/>
          </w:tcPr>
          <w:p w:rsidR="00DE2643" w:rsidRPr="00C64AE1" w:rsidRDefault="00DE2643" w:rsidP="00FE0EF8">
            <w:pPr>
              <w:keepNext/>
              <w:keepLines/>
              <w:rPr>
                <w:rFonts w:ascii="楷体" w:eastAsia="楷体" w:hAnsi="楷体" w:cs="Times New Roman"/>
                <w:sz w:val="20"/>
                <w:szCs w:val="20"/>
              </w:rPr>
            </w:pPr>
            <w:r w:rsidRPr="00C64AE1">
              <w:rPr>
                <w:rFonts w:ascii="楷体" w:eastAsia="楷体" w:hAnsi="楷体" w:cs="Times New Roman" w:hint="eastAsia"/>
                <w:sz w:val="20"/>
                <w:szCs w:val="20"/>
              </w:rPr>
              <w:t>资料来源：Wind，中山证券研究所</w:t>
            </w:r>
          </w:p>
        </w:tc>
      </w:tr>
    </w:tbl>
    <w:p w:rsidR="005F24FD" w:rsidRPr="00C64AE1" w:rsidRDefault="005F24FD" w:rsidP="00DE2643">
      <w:pPr>
        <w:widowControl/>
        <w:spacing w:line="60" w:lineRule="exact"/>
        <w:ind w:leftChars="1200" w:left="2520" w:firstLineChars="200" w:firstLine="420"/>
        <w:rPr>
          <w:rFonts w:ascii="楷体" w:eastAsia="楷体" w:hAnsi="楷体" w:cs="Times New Roman"/>
        </w:rPr>
      </w:pPr>
    </w:p>
    <w:tbl>
      <w:tblPr>
        <w:tblW w:w="10157" w:type="dxa"/>
        <w:jc w:val="center"/>
        <w:tblLayout w:type="fixed"/>
        <w:tblCellMar>
          <w:left w:w="0" w:type="dxa"/>
          <w:right w:w="0" w:type="dxa"/>
        </w:tblCellMar>
        <w:tblLook w:val="01E0"/>
      </w:tblPr>
      <w:tblGrid>
        <w:gridCol w:w="5051"/>
        <w:gridCol w:w="56"/>
        <w:gridCol w:w="5050"/>
      </w:tblGrid>
      <w:tr w:rsidR="008C081D" w:rsidRPr="00C64AE1" w:rsidTr="0098530D">
        <w:trPr>
          <w:trHeight w:hRule="exact" w:val="323"/>
          <w:jc w:val="center"/>
        </w:trPr>
        <w:tc>
          <w:tcPr>
            <w:tcW w:w="5051" w:type="dxa"/>
            <w:tcBorders>
              <w:bottom w:val="single" w:sz="12" w:space="0" w:color="CC0000"/>
            </w:tcBorders>
            <w:shd w:val="clear" w:color="auto" w:fill="auto"/>
            <w:noWrap/>
            <w:vAlign w:val="bottom"/>
          </w:tcPr>
          <w:p w:rsidR="008C081D" w:rsidRPr="00C64AE1" w:rsidRDefault="008C081D" w:rsidP="0098530D">
            <w:pPr>
              <w:keepNext/>
              <w:keepLines/>
              <w:rPr>
                <w:rFonts w:ascii="楷体" w:eastAsia="楷体" w:hAnsi="楷体" w:cs="Times New Roman"/>
                <w:sz w:val="20"/>
                <w:szCs w:val="20"/>
              </w:rPr>
            </w:pPr>
            <w:bookmarkStart w:id="6" w:name="_Toc246398986"/>
            <w:bookmarkStart w:id="7" w:name="_Toc267650337"/>
            <w:bookmarkStart w:id="8" w:name="_Toc277704089"/>
            <w:bookmarkStart w:id="9" w:name="_Toc338665995"/>
            <w:r w:rsidRPr="00C64AE1">
              <w:rPr>
                <w:rFonts w:ascii="楷体" w:eastAsia="楷体" w:hAnsi="楷体" w:cs="Times New Roman"/>
                <w:sz w:val="20"/>
                <w:szCs w:val="20"/>
              </w:rPr>
              <w:t>图</w:t>
            </w:r>
            <w:r w:rsidR="0098530D" w:rsidRPr="00C64AE1">
              <w:rPr>
                <w:rFonts w:ascii="楷体" w:eastAsia="楷体" w:hAnsi="楷体" w:cs="Times New Roman" w:hint="eastAsia"/>
                <w:sz w:val="20"/>
                <w:szCs w:val="20"/>
              </w:rPr>
              <w:t>3</w:t>
            </w:r>
            <w:r w:rsidRPr="00C64AE1">
              <w:rPr>
                <w:rFonts w:ascii="楷体" w:eastAsia="楷体" w:hAnsi="楷体" w:cs="Times New Roman"/>
                <w:sz w:val="20"/>
                <w:szCs w:val="20"/>
              </w:rPr>
              <w:t xml:space="preserve">  </w:t>
            </w:r>
            <w:bookmarkEnd w:id="6"/>
            <w:r w:rsidRPr="00C64AE1">
              <w:rPr>
                <w:rFonts w:ascii="楷体" w:eastAsia="楷体" w:hAnsi="楷体" w:cs="Times New Roman" w:hint="eastAsia"/>
                <w:sz w:val="20"/>
                <w:szCs w:val="20"/>
              </w:rPr>
              <w:t>(</w:t>
            </w:r>
            <w:r w:rsidR="0098530D" w:rsidRPr="00C64AE1">
              <w:rPr>
                <w:rFonts w:ascii="楷体" w:eastAsia="楷体" w:hAnsi="楷体" w:cs="Times New Roman" w:hint="eastAsia"/>
                <w:sz w:val="20"/>
                <w:szCs w:val="20"/>
              </w:rPr>
              <w:t>大股东质押股数趋势图</w:t>
            </w:r>
            <w:r w:rsidRPr="00C64AE1">
              <w:rPr>
                <w:rFonts w:ascii="楷体" w:eastAsia="楷体" w:hAnsi="楷体" w:cs="Times New Roman" w:hint="eastAsia"/>
                <w:sz w:val="20"/>
                <w:szCs w:val="20"/>
              </w:rPr>
              <w:t>)</w:t>
            </w:r>
            <w:bookmarkEnd w:id="7"/>
            <w:bookmarkEnd w:id="8"/>
            <w:bookmarkEnd w:id="9"/>
          </w:p>
        </w:tc>
        <w:tc>
          <w:tcPr>
            <w:tcW w:w="56" w:type="dxa"/>
            <w:shd w:val="clear" w:color="auto" w:fill="auto"/>
            <w:vAlign w:val="bottom"/>
          </w:tcPr>
          <w:p w:rsidR="008C081D" w:rsidRPr="00C64AE1" w:rsidRDefault="008C081D" w:rsidP="0098530D">
            <w:pPr>
              <w:keepNext/>
              <w:keepLines/>
              <w:rPr>
                <w:rFonts w:ascii="楷体" w:eastAsia="楷体" w:hAnsi="楷体" w:cs="Times New Roman"/>
                <w:sz w:val="20"/>
                <w:szCs w:val="20"/>
              </w:rPr>
            </w:pPr>
          </w:p>
        </w:tc>
        <w:tc>
          <w:tcPr>
            <w:tcW w:w="5050" w:type="dxa"/>
            <w:tcBorders>
              <w:bottom w:val="single" w:sz="12" w:space="0" w:color="CC0000"/>
            </w:tcBorders>
            <w:shd w:val="clear" w:color="auto" w:fill="auto"/>
            <w:noWrap/>
            <w:vAlign w:val="bottom"/>
          </w:tcPr>
          <w:p w:rsidR="008C081D" w:rsidRPr="00C64AE1" w:rsidRDefault="008C081D" w:rsidP="00632B7E">
            <w:pPr>
              <w:keepNext/>
              <w:keepLines/>
              <w:rPr>
                <w:rFonts w:ascii="楷体" w:eastAsia="楷体" w:hAnsi="楷体" w:cs="Times New Roman"/>
                <w:sz w:val="20"/>
                <w:szCs w:val="20"/>
              </w:rPr>
            </w:pPr>
            <w:bookmarkStart w:id="10" w:name="_Toc246398987"/>
            <w:bookmarkStart w:id="11" w:name="_Toc267650338"/>
            <w:bookmarkStart w:id="12" w:name="_Toc277704090"/>
            <w:bookmarkStart w:id="13" w:name="_Toc338665996"/>
            <w:r w:rsidRPr="00C64AE1">
              <w:rPr>
                <w:rFonts w:ascii="楷体" w:eastAsia="楷体" w:hAnsi="楷体" w:cs="Times New Roman"/>
                <w:sz w:val="20"/>
                <w:szCs w:val="20"/>
              </w:rPr>
              <w:t>图</w:t>
            </w:r>
            <w:r w:rsidR="0098530D" w:rsidRPr="00C64AE1">
              <w:rPr>
                <w:rFonts w:ascii="楷体" w:eastAsia="楷体" w:hAnsi="楷体" w:cs="Times New Roman" w:hint="eastAsia"/>
                <w:sz w:val="20"/>
                <w:szCs w:val="20"/>
              </w:rPr>
              <w:t>4</w:t>
            </w:r>
            <w:r w:rsidRPr="00C64AE1">
              <w:rPr>
                <w:rFonts w:ascii="楷体" w:eastAsia="楷体" w:hAnsi="楷体" w:cs="Times New Roman"/>
                <w:sz w:val="20"/>
                <w:szCs w:val="20"/>
              </w:rPr>
              <w:t xml:space="preserve">  </w:t>
            </w:r>
            <w:bookmarkEnd w:id="10"/>
            <w:r w:rsidR="0098530D" w:rsidRPr="00C64AE1">
              <w:rPr>
                <w:rFonts w:ascii="楷体" w:eastAsia="楷体" w:hAnsi="楷体" w:cs="Times New Roman" w:hint="eastAsia"/>
                <w:sz w:val="20"/>
                <w:szCs w:val="20"/>
              </w:rPr>
              <w:t>(大股东质押股</w:t>
            </w:r>
            <w:r w:rsidR="00632B7E" w:rsidRPr="00C64AE1">
              <w:rPr>
                <w:rFonts w:ascii="楷体" w:eastAsia="楷体" w:hAnsi="楷体" w:cs="Times New Roman" w:hint="eastAsia"/>
                <w:sz w:val="20"/>
                <w:szCs w:val="20"/>
              </w:rPr>
              <w:t>票疑似触及平仓线规模</w:t>
            </w:r>
            <w:r w:rsidR="0098530D" w:rsidRPr="00C64AE1">
              <w:rPr>
                <w:rFonts w:ascii="楷体" w:eastAsia="楷体" w:hAnsi="楷体" w:cs="Times New Roman" w:hint="eastAsia"/>
                <w:sz w:val="20"/>
                <w:szCs w:val="20"/>
              </w:rPr>
              <w:t>趋势图)</w:t>
            </w:r>
            <w:bookmarkEnd w:id="11"/>
            <w:bookmarkEnd w:id="12"/>
            <w:bookmarkEnd w:id="13"/>
          </w:p>
        </w:tc>
      </w:tr>
      <w:tr w:rsidR="008C081D" w:rsidRPr="00C64AE1" w:rsidTr="0098530D">
        <w:trPr>
          <w:trHeight w:hRule="exact" w:val="2537"/>
          <w:jc w:val="center"/>
        </w:trPr>
        <w:tc>
          <w:tcPr>
            <w:tcW w:w="5051" w:type="dxa"/>
            <w:tcBorders>
              <w:top w:val="single" w:sz="12" w:space="0" w:color="CC0000"/>
              <w:bottom w:val="single" w:sz="12" w:space="0" w:color="CC0000"/>
            </w:tcBorders>
            <w:shd w:val="clear" w:color="auto" w:fill="auto"/>
            <w:noWrap/>
          </w:tcPr>
          <w:p w:rsidR="008C081D" w:rsidRPr="00C64AE1" w:rsidRDefault="0098530D" w:rsidP="0098530D">
            <w:pPr>
              <w:keepNext/>
              <w:keepLines/>
              <w:jc w:val="center"/>
              <w:rPr>
                <w:rFonts w:ascii="楷体" w:eastAsia="楷体" w:hAnsi="楷体" w:cs="Times New Roman"/>
                <w:szCs w:val="24"/>
              </w:rPr>
            </w:pPr>
            <w:r w:rsidRPr="00C64AE1">
              <w:rPr>
                <w:rFonts w:ascii="楷体" w:eastAsia="楷体" w:hAnsi="楷体" w:cs="Times New Roman"/>
                <w:noProof/>
                <w:szCs w:val="24"/>
              </w:rPr>
              <w:drawing>
                <wp:inline distT="0" distB="0" distL="0" distR="0">
                  <wp:extent cx="3219450" cy="1438275"/>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219450" cy="1438275"/>
                          </a:xfrm>
                          <a:prstGeom prst="rect">
                            <a:avLst/>
                          </a:prstGeom>
                          <a:noFill/>
                          <a:ln w="9525">
                            <a:noFill/>
                            <a:miter lim="800000"/>
                            <a:headEnd/>
                            <a:tailEnd/>
                          </a:ln>
                        </pic:spPr>
                      </pic:pic>
                    </a:graphicData>
                  </a:graphic>
                </wp:inline>
              </w:drawing>
            </w:r>
          </w:p>
        </w:tc>
        <w:tc>
          <w:tcPr>
            <w:tcW w:w="56" w:type="dxa"/>
            <w:shd w:val="clear" w:color="auto" w:fill="FFFFFF"/>
          </w:tcPr>
          <w:p w:rsidR="008C081D" w:rsidRPr="00C64AE1" w:rsidRDefault="008C081D" w:rsidP="0098530D">
            <w:pPr>
              <w:keepNext/>
              <w:keepLines/>
              <w:ind w:firstLine="420"/>
              <w:jc w:val="center"/>
              <w:rPr>
                <w:rFonts w:ascii="楷体" w:eastAsia="楷体" w:hAnsi="楷体" w:cs="Times New Roman"/>
                <w:szCs w:val="24"/>
              </w:rPr>
            </w:pPr>
          </w:p>
        </w:tc>
        <w:tc>
          <w:tcPr>
            <w:tcW w:w="5050" w:type="dxa"/>
            <w:tcBorders>
              <w:top w:val="single" w:sz="12" w:space="0" w:color="CC0000"/>
              <w:bottom w:val="single" w:sz="12" w:space="0" w:color="CC0000"/>
            </w:tcBorders>
            <w:shd w:val="clear" w:color="auto" w:fill="auto"/>
            <w:noWrap/>
          </w:tcPr>
          <w:p w:rsidR="008C081D" w:rsidRPr="00C64AE1" w:rsidRDefault="0098530D" w:rsidP="0098530D">
            <w:pPr>
              <w:keepNext/>
              <w:keepLines/>
              <w:jc w:val="center"/>
              <w:rPr>
                <w:rFonts w:ascii="楷体" w:eastAsia="楷体" w:hAnsi="楷体" w:cs="Times New Roman"/>
                <w:szCs w:val="24"/>
              </w:rPr>
            </w:pPr>
            <w:r w:rsidRPr="00C64AE1">
              <w:rPr>
                <w:rFonts w:ascii="楷体" w:eastAsia="楷体" w:hAnsi="楷体" w:cs="Times New Roman"/>
                <w:noProof/>
                <w:szCs w:val="24"/>
              </w:rPr>
              <w:drawing>
                <wp:inline distT="0" distB="0" distL="0" distR="0">
                  <wp:extent cx="3219450" cy="14287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3219450" cy="1428750"/>
                          </a:xfrm>
                          <a:prstGeom prst="rect">
                            <a:avLst/>
                          </a:prstGeom>
                          <a:noFill/>
                          <a:ln w="9525">
                            <a:noFill/>
                            <a:miter lim="800000"/>
                            <a:headEnd/>
                            <a:tailEnd/>
                          </a:ln>
                        </pic:spPr>
                      </pic:pic>
                    </a:graphicData>
                  </a:graphic>
                </wp:inline>
              </w:drawing>
            </w:r>
          </w:p>
        </w:tc>
      </w:tr>
      <w:tr w:rsidR="008C081D" w:rsidRPr="00C64AE1" w:rsidTr="0098530D">
        <w:trPr>
          <w:trHeight w:val="256"/>
          <w:jc w:val="center"/>
        </w:trPr>
        <w:tc>
          <w:tcPr>
            <w:tcW w:w="5051" w:type="dxa"/>
            <w:tcBorders>
              <w:top w:val="single" w:sz="12" w:space="0" w:color="CC0000"/>
            </w:tcBorders>
            <w:shd w:val="clear" w:color="auto" w:fill="auto"/>
            <w:noWrap/>
          </w:tcPr>
          <w:p w:rsidR="008C081D" w:rsidRPr="00C64AE1" w:rsidRDefault="008C081D" w:rsidP="0098530D">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0098530D" w:rsidRPr="00C64AE1">
              <w:rPr>
                <w:rFonts w:ascii="楷体" w:eastAsia="楷体" w:hAnsi="楷体" w:cs="Times New Roman" w:hint="eastAsia"/>
                <w:sz w:val="20"/>
                <w:szCs w:val="20"/>
              </w:rPr>
              <w:t>Wind，中山证券研究所</w:t>
            </w:r>
          </w:p>
        </w:tc>
        <w:tc>
          <w:tcPr>
            <w:tcW w:w="56" w:type="dxa"/>
            <w:shd w:val="clear" w:color="auto" w:fill="auto"/>
          </w:tcPr>
          <w:p w:rsidR="008C081D" w:rsidRPr="00C64AE1" w:rsidRDefault="008C081D" w:rsidP="0098530D">
            <w:pPr>
              <w:keepNext/>
              <w:keepLines/>
              <w:rPr>
                <w:rFonts w:ascii="楷体" w:eastAsia="楷体" w:hAnsi="楷体" w:cs="Times New Roman"/>
                <w:sz w:val="20"/>
                <w:szCs w:val="20"/>
              </w:rPr>
            </w:pPr>
          </w:p>
        </w:tc>
        <w:tc>
          <w:tcPr>
            <w:tcW w:w="5050" w:type="dxa"/>
            <w:tcBorders>
              <w:top w:val="single" w:sz="12" w:space="0" w:color="CC0000"/>
            </w:tcBorders>
            <w:shd w:val="clear" w:color="auto" w:fill="auto"/>
            <w:noWrap/>
          </w:tcPr>
          <w:p w:rsidR="008C081D" w:rsidRPr="00C64AE1" w:rsidRDefault="008C081D" w:rsidP="0098530D">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0098530D" w:rsidRPr="00C64AE1">
              <w:rPr>
                <w:rFonts w:ascii="楷体" w:eastAsia="楷体" w:hAnsi="楷体" w:cs="Times New Roman" w:hint="eastAsia"/>
                <w:sz w:val="20"/>
                <w:szCs w:val="20"/>
              </w:rPr>
              <w:t>Wind，中山证券研究所</w:t>
            </w:r>
          </w:p>
        </w:tc>
      </w:tr>
    </w:tbl>
    <w:p w:rsidR="008C081D" w:rsidRPr="00C64AE1" w:rsidRDefault="008C081D" w:rsidP="0021738A">
      <w:pPr>
        <w:widowControl/>
        <w:spacing w:line="60" w:lineRule="exact"/>
        <w:ind w:leftChars="1200" w:left="2520" w:firstLineChars="200" w:firstLine="442"/>
        <w:rPr>
          <w:rFonts w:ascii="楷体" w:eastAsia="楷体" w:hAnsi="楷体" w:cs="Times New Roman"/>
          <w:b/>
          <w:sz w:val="22"/>
        </w:rPr>
      </w:pPr>
    </w:p>
    <w:p w:rsidR="007C312D" w:rsidRPr="00C64AE1" w:rsidRDefault="007C312D"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行业方面，</w:t>
      </w:r>
      <w:r w:rsidR="001D4FB8" w:rsidRPr="00C64AE1">
        <w:rPr>
          <w:rFonts w:ascii="楷体" w:eastAsia="楷体" w:hAnsi="楷体" w:cs="Times New Roman" w:hint="eastAsia"/>
        </w:rPr>
        <w:t>2018年以来，</w:t>
      </w:r>
      <w:r w:rsidR="00510A9C" w:rsidRPr="00C64AE1">
        <w:rPr>
          <w:rFonts w:ascii="楷体" w:eastAsia="楷体" w:hAnsi="楷体" w:cs="Times New Roman" w:hint="eastAsia"/>
        </w:rPr>
        <w:t>申万一级行业指数</w:t>
      </w:r>
      <w:r w:rsidR="005D5E6E" w:rsidRPr="00C64AE1">
        <w:rPr>
          <w:rFonts w:ascii="楷体" w:eastAsia="楷体" w:hAnsi="楷体" w:cs="Times New Roman" w:hint="eastAsia"/>
        </w:rPr>
        <w:t>均值跌幅超20%</w:t>
      </w:r>
      <w:r w:rsidR="00510A9C" w:rsidRPr="00C64AE1">
        <w:rPr>
          <w:rFonts w:ascii="楷体" w:eastAsia="楷体" w:hAnsi="楷体" w:cs="Times New Roman" w:hint="eastAsia"/>
        </w:rPr>
        <w:t>，</w:t>
      </w:r>
      <w:r w:rsidR="005D5E6E" w:rsidRPr="00C64AE1">
        <w:rPr>
          <w:rFonts w:ascii="楷体" w:eastAsia="楷体" w:hAnsi="楷体" w:cs="Times New Roman" w:hint="eastAsia"/>
        </w:rPr>
        <w:t>其中，</w:t>
      </w:r>
      <w:r w:rsidR="00602C5B" w:rsidRPr="00C64AE1">
        <w:rPr>
          <w:rFonts w:ascii="楷体" w:eastAsia="楷体" w:hAnsi="楷体" w:cs="Times New Roman" w:hint="eastAsia"/>
        </w:rPr>
        <w:t>休闲服务、银行跌</w:t>
      </w:r>
      <w:r w:rsidR="005D5E6E" w:rsidRPr="00C64AE1">
        <w:rPr>
          <w:rFonts w:ascii="楷体" w:eastAsia="楷体" w:hAnsi="楷体" w:cs="Times New Roman" w:hint="eastAsia"/>
        </w:rPr>
        <w:t>下跌</w:t>
      </w:r>
      <w:r w:rsidR="00602C5B" w:rsidRPr="00C64AE1">
        <w:rPr>
          <w:rFonts w:ascii="楷体" w:eastAsia="楷体" w:hAnsi="楷体" w:cs="Times New Roman" w:hint="eastAsia"/>
        </w:rPr>
        <w:t>较小</w:t>
      </w:r>
      <w:r w:rsidR="005D5E6E" w:rsidRPr="00C64AE1">
        <w:rPr>
          <w:rFonts w:ascii="楷体" w:eastAsia="楷体" w:hAnsi="楷体" w:cs="Times New Roman" w:hint="eastAsia"/>
        </w:rPr>
        <w:t>，</w:t>
      </w:r>
      <w:r w:rsidR="00201190" w:rsidRPr="00C64AE1">
        <w:rPr>
          <w:rFonts w:ascii="楷体" w:eastAsia="楷体" w:hAnsi="楷体" w:cs="Times New Roman" w:hint="eastAsia"/>
        </w:rPr>
        <w:t>银行</w:t>
      </w:r>
      <w:r w:rsidR="00602C5B" w:rsidRPr="00C64AE1">
        <w:rPr>
          <w:rFonts w:ascii="楷体" w:eastAsia="楷体" w:hAnsi="楷体" w:cs="Times New Roman" w:hint="eastAsia"/>
        </w:rPr>
        <w:t>下跌</w:t>
      </w:r>
      <w:r w:rsidR="005D5E6E" w:rsidRPr="00C64AE1">
        <w:rPr>
          <w:rFonts w:ascii="楷体" w:eastAsia="楷体" w:hAnsi="楷体" w:cs="Times New Roman" w:hint="eastAsia"/>
        </w:rPr>
        <w:t>幅约为</w:t>
      </w:r>
      <w:r w:rsidR="00201190" w:rsidRPr="00C64AE1">
        <w:rPr>
          <w:rFonts w:ascii="楷体" w:eastAsia="楷体" w:hAnsi="楷体" w:cs="Times New Roman" w:hint="eastAsia"/>
        </w:rPr>
        <w:t>9.65</w:t>
      </w:r>
      <w:r w:rsidR="005D5E6E" w:rsidRPr="00C64AE1">
        <w:rPr>
          <w:rFonts w:ascii="楷体" w:eastAsia="楷体" w:hAnsi="楷体" w:cs="Times New Roman" w:hint="eastAsia"/>
        </w:rPr>
        <w:t>%</w:t>
      </w:r>
      <w:r w:rsidR="00875A36" w:rsidRPr="00C64AE1">
        <w:rPr>
          <w:rFonts w:ascii="楷体" w:eastAsia="楷体" w:hAnsi="楷体" w:cs="Times New Roman" w:hint="eastAsia"/>
        </w:rPr>
        <w:t>；电子、有色金属、传媒、汽车、电气设备、轻工设备以及纺织服装等行业的跌幅相对较大，跌幅最高接近</w:t>
      </w:r>
      <w:r w:rsidR="00EA4C9F" w:rsidRPr="00C64AE1">
        <w:rPr>
          <w:rFonts w:ascii="楷体" w:eastAsia="楷体" w:hAnsi="楷体" w:cs="Times New Roman" w:hint="eastAsia"/>
        </w:rPr>
        <w:t>39</w:t>
      </w:r>
      <w:r w:rsidR="00875A36" w:rsidRPr="00C64AE1">
        <w:rPr>
          <w:rFonts w:ascii="楷体" w:eastAsia="楷体" w:hAnsi="楷体" w:cs="Times New Roman" w:hint="eastAsia"/>
        </w:rPr>
        <w:t>%</w:t>
      </w:r>
      <w:r w:rsidR="005D5E6E" w:rsidRPr="00C64AE1">
        <w:rPr>
          <w:rFonts w:ascii="楷体" w:eastAsia="楷体" w:hAnsi="楷体" w:cs="Times New Roman" w:hint="eastAsia"/>
        </w:rPr>
        <w:t>。</w:t>
      </w:r>
    </w:p>
    <w:tbl>
      <w:tblPr>
        <w:tblW w:w="10206" w:type="dxa"/>
        <w:tblInd w:w="284" w:type="dxa"/>
        <w:tblBorders>
          <w:insideH w:val="double" w:sz="4" w:space="0" w:color="333399"/>
          <w:insideV w:val="double" w:sz="4" w:space="0" w:color="333399"/>
        </w:tblBorders>
        <w:tblLayout w:type="fixed"/>
        <w:tblCellMar>
          <w:left w:w="0" w:type="dxa"/>
          <w:right w:w="0" w:type="dxa"/>
        </w:tblCellMar>
        <w:tblLook w:val="04A0"/>
      </w:tblPr>
      <w:tblGrid>
        <w:gridCol w:w="10206"/>
      </w:tblGrid>
      <w:tr w:rsidR="00137858" w:rsidRPr="00C64AE1" w:rsidTr="00137858">
        <w:trPr>
          <w:trHeight w:val="343"/>
        </w:trPr>
        <w:tc>
          <w:tcPr>
            <w:tcW w:w="10206" w:type="dxa"/>
            <w:tcBorders>
              <w:top w:val="nil"/>
              <w:bottom w:val="single" w:sz="12" w:space="0" w:color="CC0000"/>
            </w:tcBorders>
            <w:shd w:val="clear" w:color="auto" w:fill="auto"/>
            <w:vAlign w:val="bottom"/>
          </w:tcPr>
          <w:p w:rsidR="00137858" w:rsidRPr="00C64AE1" w:rsidRDefault="0076374E" w:rsidP="0076374E">
            <w:pPr>
              <w:keepNext/>
              <w:keepLines/>
              <w:rPr>
                <w:rFonts w:ascii="楷体" w:eastAsia="楷体" w:hAnsi="楷体" w:cs="Times New Roman"/>
                <w:sz w:val="20"/>
                <w:szCs w:val="20"/>
              </w:rPr>
            </w:pPr>
            <w:r w:rsidRPr="00C64AE1">
              <w:rPr>
                <w:rFonts w:ascii="楷体" w:eastAsia="楷体" w:hAnsi="楷体" w:cs="Times New Roman" w:hint="eastAsia"/>
                <w:sz w:val="20"/>
                <w:szCs w:val="20"/>
              </w:rPr>
              <w:t>图5  （</w:t>
            </w:r>
            <w:r w:rsidR="00137858" w:rsidRPr="00C64AE1">
              <w:rPr>
                <w:rFonts w:ascii="楷体" w:eastAsia="楷体" w:hAnsi="楷体" w:cs="Times New Roman" w:hint="eastAsia"/>
                <w:sz w:val="20"/>
                <w:szCs w:val="20"/>
              </w:rPr>
              <w:t>2018年以来，申万一级行业指数涨跌与活跃状况图</w:t>
            </w:r>
            <w:r w:rsidRPr="00C64AE1">
              <w:rPr>
                <w:rFonts w:ascii="楷体" w:eastAsia="楷体" w:hAnsi="楷体" w:cs="Times New Roman" w:hint="eastAsia"/>
                <w:sz w:val="20"/>
                <w:szCs w:val="20"/>
              </w:rPr>
              <w:t>）</w:t>
            </w:r>
          </w:p>
        </w:tc>
      </w:tr>
      <w:tr w:rsidR="00137858" w:rsidRPr="00C64AE1" w:rsidTr="00137858">
        <w:tblPrEx>
          <w:tblCellMar>
            <w:left w:w="108" w:type="dxa"/>
            <w:right w:w="108" w:type="dxa"/>
          </w:tblCellMar>
        </w:tblPrEx>
        <w:trPr>
          <w:trHeight w:hRule="exact" w:val="4417"/>
        </w:trPr>
        <w:tc>
          <w:tcPr>
            <w:tcW w:w="10206" w:type="dxa"/>
            <w:tcBorders>
              <w:top w:val="single" w:sz="12" w:space="0" w:color="CC0000"/>
              <w:bottom w:val="single" w:sz="12" w:space="0" w:color="CC0000"/>
            </w:tcBorders>
            <w:shd w:val="clear" w:color="auto" w:fill="auto"/>
          </w:tcPr>
          <w:p w:rsidR="00137858" w:rsidRPr="00C64AE1" w:rsidRDefault="000849BF" w:rsidP="000849BF">
            <w:pPr>
              <w:keepNext/>
              <w:keepLines/>
              <w:ind w:leftChars="-793" w:right="525" w:hangingChars="793" w:hanging="1665"/>
              <w:jc w:val="right"/>
              <w:rPr>
                <w:rFonts w:ascii="楷体" w:eastAsia="楷体" w:hAnsi="楷体" w:cs="Times New Roman"/>
                <w:szCs w:val="21"/>
              </w:rPr>
            </w:pPr>
            <w:r w:rsidRPr="00C64AE1">
              <w:rPr>
                <w:rFonts w:ascii="楷体" w:eastAsia="楷体" w:hAnsi="楷体" w:cs="Times New Roman"/>
                <w:noProof/>
                <w:szCs w:val="21"/>
              </w:rPr>
              <w:drawing>
                <wp:inline distT="0" distB="0" distL="0" distR="0">
                  <wp:extent cx="5977989" cy="2670270"/>
                  <wp:effectExtent l="19050" t="0" r="3711" b="0"/>
                  <wp:docPr id="15" name="图片 14" descr="2018年申万行业成交量与指数变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年申万行业成交量与指数变化.png"/>
                          <pic:cNvPicPr/>
                        </pic:nvPicPr>
                        <pic:blipFill>
                          <a:blip r:embed="rId22" cstate="print"/>
                          <a:stretch>
                            <a:fillRect/>
                          </a:stretch>
                        </pic:blipFill>
                        <pic:spPr>
                          <a:xfrm>
                            <a:off x="0" y="0"/>
                            <a:ext cx="5977989" cy="2670270"/>
                          </a:xfrm>
                          <a:prstGeom prst="rect">
                            <a:avLst/>
                          </a:prstGeom>
                        </pic:spPr>
                      </pic:pic>
                    </a:graphicData>
                  </a:graphic>
                </wp:inline>
              </w:drawing>
            </w:r>
          </w:p>
        </w:tc>
      </w:tr>
      <w:tr w:rsidR="00137858" w:rsidRPr="00C64AE1" w:rsidTr="00137858">
        <w:trPr>
          <w:trHeight w:val="343"/>
        </w:trPr>
        <w:tc>
          <w:tcPr>
            <w:tcW w:w="10206" w:type="dxa"/>
            <w:tcBorders>
              <w:top w:val="single" w:sz="12" w:space="0" w:color="CC0000"/>
              <w:bottom w:val="nil"/>
            </w:tcBorders>
            <w:shd w:val="clear" w:color="auto" w:fill="auto"/>
            <w:vAlign w:val="bottom"/>
          </w:tcPr>
          <w:p w:rsidR="00137858" w:rsidRPr="00C64AE1" w:rsidRDefault="00137858" w:rsidP="00700323">
            <w:pPr>
              <w:keepNext/>
              <w:keepLines/>
              <w:rPr>
                <w:rFonts w:ascii="楷体" w:eastAsia="楷体" w:hAnsi="楷体" w:cs="Times New Roman"/>
                <w:sz w:val="20"/>
                <w:szCs w:val="20"/>
              </w:rPr>
            </w:pPr>
            <w:r w:rsidRPr="00C64AE1">
              <w:rPr>
                <w:rFonts w:ascii="楷体" w:eastAsia="楷体" w:hAnsi="楷体" w:cs="Times New Roman" w:hint="eastAsia"/>
                <w:sz w:val="20"/>
                <w:szCs w:val="20"/>
              </w:rPr>
              <w:t>资料来源：Wind，中山证券研究所</w:t>
            </w:r>
          </w:p>
        </w:tc>
      </w:tr>
    </w:tbl>
    <w:p w:rsidR="00875A36" w:rsidRPr="00C64AE1" w:rsidRDefault="00A94ED6" w:rsidP="00446770">
      <w:pPr>
        <w:widowControl/>
        <w:spacing w:beforeLines="50" w:afterLines="50" w:line="312" w:lineRule="auto"/>
        <w:ind w:leftChars="1200" w:left="2520" w:firstLineChars="200" w:firstLine="420"/>
        <w:rPr>
          <w:rFonts w:ascii="楷体" w:eastAsia="楷体" w:hAnsi="楷体" w:cs="Times New Roman"/>
          <w:b/>
          <w:sz w:val="28"/>
        </w:rPr>
      </w:pPr>
      <w:r w:rsidRPr="00C64AE1">
        <w:rPr>
          <w:rFonts w:ascii="楷体" w:eastAsia="楷体" w:hAnsi="楷体" w:cs="Times New Roman" w:hint="eastAsia"/>
        </w:rPr>
        <w:t>若</w:t>
      </w:r>
      <w:r w:rsidR="00875A36" w:rsidRPr="00C64AE1">
        <w:rPr>
          <w:rFonts w:ascii="楷体" w:eastAsia="楷体" w:hAnsi="楷体" w:cs="Times New Roman" w:hint="eastAsia"/>
        </w:rPr>
        <w:t>以成交额与指数涨跌作为评判准</w:t>
      </w:r>
      <w:r w:rsidR="00A1437B" w:rsidRPr="00C64AE1">
        <w:rPr>
          <w:rFonts w:ascii="楷体" w:eastAsia="楷体" w:hAnsi="楷体" w:cs="Times New Roman" w:hint="eastAsia"/>
        </w:rPr>
        <w:t>则</w:t>
      </w:r>
      <w:r w:rsidR="00875A36" w:rsidRPr="00C64AE1">
        <w:rPr>
          <w:rFonts w:ascii="楷体" w:eastAsia="楷体" w:hAnsi="楷体" w:cs="Times New Roman" w:hint="eastAsia"/>
        </w:rPr>
        <w:t>，申万行业大致可以分为活跃抗跌、活跌非抗跌以及非活跃不抗跌等三种类别：其一，交易活跃</w:t>
      </w:r>
      <w:r w:rsidR="00A1437B" w:rsidRPr="00C64AE1">
        <w:rPr>
          <w:rFonts w:ascii="楷体" w:eastAsia="楷体" w:hAnsi="楷体" w:cs="Times New Roman" w:hint="eastAsia"/>
        </w:rPr>
        <w:t>且</w:t>
      </w:r>
      <w:r w:rsidR="00875A36" w:rsidRPr="00C64AE1">
        <w:rPr>
          <w:rFonts w:ascii="楷体" w:eastAsia="楷体" w:hAnsi="楷体" w:cs="Times New Roman" w:hint="eastAsia"/>
        </w:rPr>
        <w:t>抗跌的行业主要有：医药生物、计算机、</w:t>
      </w:r>
      <w:r w:rsidR="00875A36" w:rsidRPr="00C64AE1">
        <w:rPr>
          <w:rFonts w:ascii="楷体" w:eastAsia="楷体" w:hAnsi="楷体" w:cs="Times New Roman" w:hint="eastAsia"/>
        </w:rPr>
        <w:lastRenderedPageBreak/>
        <w:t>银行等</w:t>
      </w:r>
      <w:r w:rsidRPr="00C64AE1">
        <w:rPr>
          <w:rFonts w:ascii="楷体" w:eastAsia="楷体" w:hAnsi="楷体" w:cs="Times New Roman" w:hint="eastAsia"/>
        </w:rPr>
        <w:t>行业</w:t>
      </w:r>
      <w:r w:rsidR="00875A36" w:rsidRPr="00C64AE1">
        <w:rPr>
          <w:rFonts w:ascii="楷体" w:eastAsia="楷体" w:hAnsi="楷体" w:cs="Times New Roman" w:hint="eastAsia"/>
        </w:rPr>
        <w:t>；其二，交易活跃非抗跌的行业主要有：电子、有色金属、机械设备、传媒、电气设备以及汽车等行业；其三，交易非活跌不抗跌的行业：纺织服装、商业贸易、国防军工、轻工制造等行业。</w:t>
      </w:r>
    </w:p>
    <w:p w:rsidR="0098530D" w:rsidRPr="00C64AE1" w:rsidRDefault="00EF3471" w:rsidP="00446770">
      <w:pPr>
        <w:widowControl/>
        <w:numPr>
          <w:ilvl w:val="1"/>
          <w:numId w:val="0"/>
        </w:numPr>
        <w:spacing w:beforeLines="50" w:afterLines="50" w:line="360" w:lineRule="auto"/>
        <w:ind w:leftChars="1200" w:left="3026" w:hangingChars="180" w:hanging="506"/>
        <w:outlineLvl w:val="1"/>
        <w:rPr>
          <w:rFonts w:ascii="楷体" w:eastAsia="楷体" w:hAnsi="楷体" w:cs="Times New Roman"/>
          <w:b/>
          <w:sz w:val="28"/>
        </w:rPr>
      </w:pPr>
      <w:bookmarkStart w:id="14" w:name="_Toc531856899"/>
      <w:r w:rsidRPr="00C64AE1">
        <w:rPr>
          <w:rFonts w:ascii="楷体" w:eastAsia="楷体" w:hAnsi="楷体" w:cs="Times New Roman" w:hint="eastAsia"/>
          <w:b/>
          <w:sz w:val="28"/>
        </w:rPr>
        <w:t xml:space="preserve">1.2 </w:t>
      </w:r>
      <w:r w:rsidR="00B843C2" w:rsidRPr="00C64AE1">
        <w:rPr>
          <w:rFonts w:ascii="楷体" w:eastAsia="楷体" w:hAnsi="楷体" w:cs="Times New Roman" w:hint="eastAsia"/>
          <w:b/>
          <w:sz w:val="28"/>
        </w:rPr>
        <w:t>成交量下行趋势弱化，</w:t>
      </w:r>
      <w:r w:rsidR="00167CDA" w:rsidRPr="00C64AE1">
        <w:rPr>
          <w:rFonts w:ascii="楷体" w:eastAsia="楷体" w:hAnsi="楷体" w:cs="Times New Roman" w:hint="eastAsia"/>
          <w:b/>
          <w:sz w:val="28"/>
        </w:rPr>
        <w:t>底部</w:t>
      </w:r>
      <w:r w:rsidR="00B843C2" w:rsidRPr="00C64AE1">
        <w:rPr>
          <w:rFonts w:ascii="楷体" w:eastAsia="楷体" w:hAnsi="楷体" w:cs="Times New Roman" w:hint="eastAsia"/>
          <w:b/>
          <w:sz w:val="28"/>
        </w:rPr>
        <w:t>震荡</w:t>
      </w:r>
      <w:r w:rsidR="00366B35" w:rsidRPr="00C64AE1">
        <w:rPr>
          <w:rFonts w:ascii="楷体" w:eastAsia="楷体" w:hAnsi="楷体" w:cs="Times New Roman" w:hint="eastAsia"/>
          <w:b/>
          <w:sz w:val="28"/>
        </w:rPr>
        <w:t>格局初现</w:t>
      </w:r>
      <w:bookmarkEnd w:id="14"/>
    </w:p>
    <w:p w:rsidR="00832AEF" w:rsidRPr="00C64AE1" w:rsidRDefault="000272EE"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自2018年以来，沪深两市成交额与成交量呈整体</w:t>
      </w:r>
      <w:r w:rsidR="0025402B" w:rsidRPr="00C64AE1">
        <w:rPr>
          <w:rFonts w:ascii="楷体" w:eastAsia="楷体" w:hAnsi="楷体" w:cs="Times New Roman" w:hint="eastAsia"/>
        </w:rPr>
        <w:t>震荡</w:t>
      </w:r>
      <w:r w:rsidRPr="00C64AE1">
        <w:rPr>
          <w:rFonts w:ascii="楷体" w:eastAsia="楷体" w:hAnsi="楷体" w:cs="Times New Roman" w:hint="eastAsia"/>
        </w:rPr>
        <w:t>下降趋势</w:t>
      </w:r>
      <w:r w:rsidR="003615BB" w:rsidRPr="00C64AE1">
        <w:rPr>
          <w:rFonts w:ascii="楷体" w:eastAsia="楷体" w:hAnsi="楷体" w:cs="Times New Roman" w:hint="eastAsia"/>
        </w:rPr>
        <w:t>，</w:t>
      </w:r>
      <w:r w:rsidR="003615BB" w:rsidRPr="00C64AE1">
        <w:rPr>
          <w:rFonts w:ascii="楷体" w:eastAsia="楷体" w:hAnsi="楷体" w:cs="Times New Roman" w:hint="eastAsia"/>
          <w:b/>
        </w:rPr>
        <w:t>每次放量伴随着股指急骤下行，且放量后出现持续1-3个月的缩量下行</w:t>
      </w:r>
      <w:r w:rsidRPr="00C64AE1">
        <w:rPr>
          <w:rFonts w:ascii="楷体" w:eastAsia="楷体" w:hAnsi="楷体" w:cs="Times New Roman" w:hint="eastAsia"/>
          <w:b/>
        </w:rPr>
        <w:t>。</w:t>
      </w:r>
      <w:r w:rsidRPr="00C64AE1">
        <w:rPr>
          <w:rFonts w:ascii="楷体" w:eastAsia="楷体" w:hAnsi="楷体" w:cs="Times New Roman" w:hint="eastAsia"/>
        </w:rPr>
        <w:t>其中，日均成交量由1月的</w:t>
      </w:r>
      <w:r w:rsidR="00904836" w:rsidRPr="00C64AE1">
        <w:rPr>
          <w:rFonts w:ascii="楷体" w:eastAsia="楷体" w:hAnsi="楷体" w:cs="Times New Roman" w:hint="eastAsia"/>
        </w:rPr>
        <w:t>5194.29亿下降至最低2600.01亿，下降幅度近50%。需注意的是，2018年4季度以来，</w:t>
      </w:r>
      <w:r w:rsidR="00007A88" w:rsidRPr="00C64AE1">
        <w:rPr>
          <w:rFonts w:ascii="楷体" w:eastAsia="楷体" w:hAnsi="楷体" w:cs="Times New Roman" w:hint="eastAsia"/>
        </w:rPr>
        <w:t>成交量呈现触底反弹</w:t>
      </w:r>
      <w:r w:rsidR="00167CDA" w:rsidRPr="00C64AE1">
        <w:rPr>
          <w:rFonts w:ascii="楷体" w:eastAsia="楷体" w:hAnsi="楷体" w:cs="Times New Roman" w:hint="eastAsia"/>
        </w:rPr>
        <w:t>。在</w:t>
      </w:r>
      <w:r w:rsidR="007B1A68" w:rsidRPr="00C64AE1">
        <w:rPr>
          <w:rFonts w:ascii="楷体" w:eastAsia="楷体" w:hAnsi="楷体" w:cs="Times New Roman" w:hint="eastAsia"/>
        </w:rPr>
        <w:t>股指震荡下行，市场反弹预期弱化的环境下，沪深两市成交额</w:t>
      </w:r>
      <w:r w:rsidR="00167CDA" w:rsidRPr="00C64AE1">
        <w:rPr>
          <w:rFonts w:ascii="楷体" w:eastAsia="楷体" w:hAnsi="楷体" w:cs="Times New Roman" w:hint="eastAsia"/>
        </w:rPr>
        <w:t>底部区间</w:t>
      </w:r>
      <w:r w:rsidR="00007A88" w:rsidRPr="00C64AE1">
        <w:rPr>
          <w:rFonts w:ascii="楷体" w:eastAsia="楷体" w:hAnsi="楷体" w:cs="Times New Roman" w:hint="eastAsia"/>
        </w:rPr>
        <w:t>震荡的</w:t>
      </w:r>
      <w:r w:rsidR="00167CDA" w:rsidRPr="00C64AE1">
        <w:rPr>
          <w:rFonts w:ascii="楷体" w:eastAsia="楷体" w:hAnsi="楷体" w:cs="Times New Roman" w:hint="eastAsia"/>
        </w:rPr>
        <w:t>格局</w:t>
      </w:r>
      <w:r w:rsidR="007B1A68" w:rsidRPr="00C64AE1">
        <w:rPr>
          <w:rFonts w:ascii="楷体" w:eastAsia="楷体" w:hAnsi="楷体" w:cs="Times New Roman" w:hint="eastAsia"/>
        </w:rPr>
        <w:t>初步明朗</w:t>
      </w:r>
      <w:r w:rsidR="00007A88" w:rsidRPr="00C64AE1">
        <w:rPr>
          <w:rFonts w:ascii="楷体" w:eastAsia="楷体" w:hAnsi="楷体" w:cs="Times New Roman" w:hint="eastAsia"/>
        </w:rPr>
        <w:t>。</w:t>
      </w:r>
    </w:p>
    <w:tbl>
      <w:tblPr>
        <w:tblW w:w="10157" w:type="dxa"/>
        <w:jc w:val="center"/>
        <w:tblLayout w:type="fixed"/>
        <w:tblCellMar>
          <w:left w:w="0" w:type="dxa"/>
          <w:right w:w="0" w:type="dxa"/>
        </w:tblCellMar>
        <w:tblLook w:val="01E0"/>
      </w:tblPr>
      <w:tblGrid>
        <w:gridCol w:w="5051"/>
        <w:gridCol w:w="56"/>
        <w:gridCol w:w="5050"/>
      </w:tblGrid>
      <w:tr w:rsidR="00832AEF" w:rsidRPr="00C64AE1" w:rsidTr="00FE0EF8">
        <w:trPr>
          <w:trHeight w:hRule="exact" w:val="323"/>
          <w:jc w:val="center"/>
        </w:trPr>
        <w:tc>
          <w:tcPr>
            <w:tcW w:w="5051" w:type="dxa"/>
            <w:tcBorders>
              <w:bottom w:val="single" w:sz="12" w:space="0" w:color="CC0000"/>
            </w:tcBorders>
            <w:shd w:val="clear" w:color="auto" w:fill="auto"/>
            <w:noWrap/>
            <w:vAlign w:val="bottom"/>
          </w:tcPr>
          <w:p w:rsidR="00832AEF" w:rsidRPr="00C64AE1" w:rsidRDefault="0076374E" w:rsidP="0076374E">
            <w:pPr>
              <w:keepNext/>
              <w:keepLines/>
              <w:rPr>
                <w:rFonts w:ascii="楷体" w:eastAsia="楷体" w:hAnsi="楷体" w:cs="Times New Roman"/>
                <w:sz w:val="20"/>
                <w:szCs w:val="20"/>
              </w:rPr>
            </w:pPr>
            <w:r w:rsidRPr="00C64AE1">
              <w:rPr>
                <w:rFonts w:ascii="楷体" w:eastAsia="楷体" w:hAnsi="楷体" w:cs="Times New Roman" w:hint="eastAsia"/>
                <w:sz w:val="20"/>
                <w:szCs w:val="20"/>
              </w:rPr>
              <w:t>图6  （</w:t>
            </w:r>
            <w:r w:rsidR="00947629" w:rsidRPr="00C64AE1">
              <w:rPr>
                <w:rFonts w:ascii="楷体" w:eastAsia="楷体" w:hAnsi="楷体" w:cs="Times New Roman" w:hint="eastAsia"/>
                <w:sz w:val="20"/>
                <w:szCs w:val="20"/>
              </w:rPr>
              <w:t>上证综指及其成交量</w:t>
            </w:r>
            <w:r w:rsidR="00832AEF" w:rsidRPr="00C64AE1">
              <w:rPr>
                <w:rFonts w:ascii="楷体" w:eastAsia="楷体" w:hAnsi="楷体" w:cs="Times New Roman" w:hint="eastAsia"/>
                <w:sz w:val="20"/>
                <w:szCs w:val="20"/>
              </w:rPr>
              <w:t>趋势图</w:t>
            </w:r>
            <w:r w:rsidRPr="00C64AE1">
              <w:rPr>
                <w:rFonts w:ascii="楷体" w:eastAsia="楷体" w:hAnsi="楷体" w:cs="Times New Roman" w:hint="eastAsia"/>
                <w:sz w:val="20"/>
                <w:szCs w:val="20"/>
              </w:rPr>
              <w:t>）</w:t>
            </w:r>
          </w:p>
        </w:tc>
        <w:tc>
          <w:tcPr>
            <w:tcW w:w="56" w:type="dxa"/>
            <w:shd w:val="clear" w:color="auto" w:fill="auto"/>
            <w:vAlign w:val="bottom"/>
          </w:tcPr>
          <w:p w:rsidR="00832AEF" w:rsidRPr="00C64AE1" w:rsidRDefault="00832AEF" w:rsidP="00FE0EF8">
            <w:pPr>
              <w:keepNext/>
              <w:keepLines/>
              <w:rPr>
                <w:rFonts w:ascii="楷体" w:eastAsia="楷体" w:hAnsi="楷体" w:cs="Times New Roman"/>
                <w:sz w:val="20"/>
                <w:szCs w:val="20"/>
              </w:rPr>
            </w:pPr>
          </w:p>
        </w:tc>
        <w:tc>
          <w:tcPr>
            <w:tcW w:w="5050" w:type="dxa"/>
            <w:tcBorders>
              <w:bottom w:val="single" w:sz="12" w:space="0" w:color="CC0000"/>
            </w:tcBorders>
            <w:shd w:val="clear" w:color="auto" w:fill="auto"/>
            <w:noWrap/>
            <w:vAlign w:val="bottom"/>
          </w:tcPr>
          <w:p w:rsidR="00832AEF" w:rsidRPr="00C64AE1" w:rsidRDefault="0076374E" w:rsidP="0076374E">
            <w:pPr>
              <w:keepNext/>
              <w:keepLines/>
              <w:rPr>
                <w:rFonts w:ascii="楷体" w:eastAsia="楷体" w:hAnsi="楷体" w:cs="Times New Roman"/>
                <w:sz w:val="20"/>
                <w:szCs w:val="20"/>
              </w:rPr>
            </w:pPr>
            <w:r w:rsidRPr="00C64AE1">
              <w:rPr>
                <w:rFonts w:ascii="楷体" w:eastAsia="楷体" w:hAnsi="楷体" w:cs="Times New Roman" w:hint="eastAsia"/>
                <w:sz w:val="20"/>
                <w:szCs w:val="20"/>
              </w:rPr>
              <w:t>图7  （</w:t>
            </w:r>
            <w:r w:rsidR="00E30BD9" w:rsidRPr="00C64AE1">
              <w:rPr>
                <w:rFonts w:ascii="楷体" w:eastAsia="楷体" w:hAnsi="楷体" w:cs="Times New Roman" w:hint="eastAsia"/>
                <w:sz w:val="20"/>
                <w:szCs w:val="20"/>
              </w:rPr>
              <w:t>深证成指及其成交量趋</w:t>
            </w:r>
            <w:r w:rsidR="00832AEF" w:rsidRPr="00C64AE1">
              <w:rPr>
                <w:rFonts w:ascii="楷体" w:eastAsia="楷体" w:hAnsi="楷体" w:cs="Times New Roman" w:hint="eastAsia"/>
                <w:sz w:val="20"/>
                <w:szCs w:val="20"/>
              </w:rPr>
              <w:t>势图</w:t>
            </w:r>
            <w:r w:rsidRPr="00C64AE1">
              <w:rPr>
                <w:rFonts w:ascii="楷体" w:eastAsia="楷体" w:hAnsi="楷体" w:cs="Times New Roman" w:hint="eastAsia"/>
                <w:sz w:val="20"/>
                <w:szCs w:val="20"/>
              </w:rPr>
              <w:t>）</w:t>
            </w:r>
          </w:p>
        </w:tc>
      </w:tr>
      <w:tr w:rsidR="00832AEF" w:rsidRPr="00C64AE1" w:rsidTr="00947629">
        <w:trPr>
          <w:trHeight w:hRule="exact" w:val="2842"/>
          <w:jc w:val="center"/>
        </w:trPr>
        <w:tc>
          <w:tcPr>
            <w:tcW w:w="5051" w:type="dxa"/>
            <w:tcBorders>
              <w:top w:val="single" w:sz="12" w:space="0" w:color="CC0000"/>
              <w:bottom w:val="single" w:sz="12" w:space="0" w:color="CC0000"/>
            </w:tcBorders>
            <w:shd w:val="clear" w:color="auto" w:fill="auto"/>
            <w:noWrap/>
          </w:tcPr>
          <w:p w:rsidR="00832AEF" w:rsidRPr="00C64AE1" w:rsidRDefault="000849BF" w:rsidP="00FE0EF8">
            <w:pPr>
              <w:keepNext/>
              <w:keepLines/>
              <w:jc w:val="center"/>
              <w:rPr>
                <w:rFonts w:ascii="楷体" w:eastAsia="楷体" w:hAnsi="楷体" w:cs="Times New Roman"/>
                <w:szCs w:val="24"/>
              </w:rPr>
            </w:pPr>
            <w:r w:rsidRPr="00C64AE1">
              <w:rPr>
                <w:rFonts w:ascii="楷体" w:eastAsia="楷体" w:hAnsi="楷体" w:cs="Times New Roman"/>
                <w:noProof/>
                <w:szCs w:val="24"/>
              </w:rPr>
              <w:drawing>
                <wp:inline distT="0" distB="0" distL="0" distR="0">
                  <wp:extent cx="3207385" cy="1742440"/>
                  <wp:effectExtent l="19050" t="0" r="0" b="0"/>
                  <wp:docPr id="18" name="图片 17" descr="2018年上证综指与成交额走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年上证综指与成交额走势.png"/>
                          <pic:cNvPicPr/>
                        </pic:nvPicPr>
                        <pic:blipFill>
                          <a:blip r:embed="rId23" cstate="print"/>
                          <a:stretch>
                            <a:fillRect/>
                          </a:stretch>
                        </pic:blipFill>
                        <pic:spPr>
                          <a:xfrm>
                            <a:off x="0" y="0"/>
                            <a:ext cx="3207385" cy="1742440"/>
                          </a:xfrm>
                          <a:prstGeom prst="rect">
                            <a:avLst/>
                          </a:prstGeom>
                        </pic:spPr>
                      </pic:pic>
                    </a:graphicData>
                  </a:graphic>
                </wp:inline>
              </w:drawing>
            </w:r>
          </w:p>
        </w:tc>
        <w:tc>
          <w:tcPr>
            <w:tcW w:w="56" w:type="dxa"/>
            <w:shd w:val="clear" w:color="auto" w:fill="FFFFFF"/>
          </w:tcPr>
          <w:p w:rsidR="00832AEF" w:rsidRPr="00C64AE1" w:rsidRDefault="00832AEF" w:rsidP="00FE0EF8">
            <w:pPr>
              <w:keepNext/>
              <w:keepLines/>
              <w:ind w:firstLine="420"/>
              <w:jc w:val="center"/>
              <w:rPr>
                <w:rFonts w:ascii="楷体" w:eastAsia="楷体" w:hAnsi="楷体" w:cs="Times New Roman"/>
                <w:szCs w:val="24"/>
              </w:rPr>
            </w:pPr>
          </w:p>
        </w:tc>
        <w:tc>
          <w:tcPr>
            <w:tcW w:w="5050" w:type="dxa"/>
            <w:tcBorders>
              <w:top w:val="single" w:sz="12" w:space="0" w:color="CC0000"/>
              <w:bottom w:val="single" w:sz="12" w:space="0" w:color="CC0000"/>
            </w:tcBorders>
            <w:shd w:val="clear" w:color="auto" w:fill="auto"/>
            <w:noWrap/>
          </w:tcPr>
          <w:p w:rsidR="00832AEF" w:rsidRPr="00C64AE1" w:rsidRDefault="000849BF" w:rsidP="00FE0EF8">
            <w:pPr>
              <w:keepNext/>
              <w:keepLines/>
              <w:jc w:val="center"/>
              <w:rPr>
                <w:rFonts w:ascii="楷体" w:eastAsia="楷体" w:hAnsi="楷体" w:cs="Times New Roman"/>
                <w:szCs w:val="24"/>
              </w:rPr>
            </w:pPr>
            <w:r w:rsidRPr="00C64AE1">
              <w:rPr>
                <w:rFonts w:ascii="楷体" w:eastAsia="楷体" w:hAnsi="楷体" w:cs="Times New Roman"/>
                <w:noProof/>
                <w:szCs w:val="24"/>
              </w:rPr>
              <w:drawing>
                <wp:inline distT="0" distB="0" distL="0" distR="0">
                  <wp:extent cx="3206750" cy="1729740"/>
                  <wp:effectExtent l="19050" t="0" r="0" b="0"/>
                  <wp:docPr id="19" name="图片 18" descr="2018年深证成指与成交额走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年深证成指与成交额走势.png"/>
                          <pic:cNvPicPr/>
                        </pic:nvPicPr>
                        <pic:blipFill>
                          <a:blip r:embed="rId24" cstate="print"/>
                          <a:stretch>
                            <a:fillRect/>
                          </a:stretch>
                        </pic:blipFill>
                        <pic:spPr>
                          <a:xfrm>
                            <a:off x="0" y="0"/>
                            <a:ext cx="3206750" cy="1729740"/>
                          </a:xfrm>
                          <a:prstGeom prst="rect">
                            <a:avLst/>
                          </a:prstGeom>
                        </pic:spPr>
                      </pic:pic>
                    </a:graphicData>
                  </a:graphic>
                </wp:inline>
              </w:drawing>
            </w:r>
          </w:p>
        </w:tc>
      </w:tr>
      <w:tr w:rsidR="00832AEF" w:rsidRPr="00C64AE1" w:rsidTr="00FE0EF8">
        <w:trPr>
          <w:trHeight w:val="256"/>
          <w:jc w:val="center"/>
        </w:trPr>
        <w:tc>
          <w:tcPr>
            <w:tcW w:w="5051" w:type="dxa"/>
            <w:tcBorders>
              <w:top w:val="single" w:sz="12" w:space="0" w:color="CC0000"/>
            </w:tcBorders>
            <w:shd w:val="clear" w:color="auto" w:fill="auto"/>
            <w:noWrap/>
          </w:tcPr>
          <w:p w:rsidR="00832AEF" w:rsidRPr="00C64AE1" w:rsidRDefault="00832AEF" w:rsidP="00E30BD9">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c>
          <w:tcPr>
            <w:tcW w:w="56" w:type="dxa"/>
            <w:shd w:val="clear" w:color="auto" w:fill="auto"/>
          </w:tcPr>
          <w:p w:rsidR="00832AEF" w:rsidRPr="00C64AE1" w:rsidRDefault="00832AEF" w:rsidP="00FE0EF8">
            <w:pPr>
              <w:keepNext/>
              <w:keepLines/>
              <w:rPr>
                <w:rFonts w:ascii="楷体" w:eastAsia="楷体" w:hAnsi="楷体" w:cs="Times New Roman"/>
                <w:sz w:val="20"/>
                <w:szCs w:val="20"/>
              </w:rPr>
            </w:pPr>
          </w:p>
        </w:tc>
        <w:tc>
          <w:tcPr>
            <w:tcW w:w="5050" w:type="dxa"/>
            <w:tcBorders>
              <w:top w:val="single" w:sz="12" w:space="0" w:color="CC0000"/>
            </w:tcBorders>
            <w:shd w:val="clear" w:color="auto" w:fill="auto"/>
            <w:noWrap/>
          </w:tcPr>
          <w:p w:rsidR="00832AEF" w:rsidRPr="00C64AE1" w:rsidRDefault="00832AEF" w:rsidP="00E30BD9">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r>
    </w:tbl>
    <w:p w:rsidR="005F24FD" w:rsidRPr="00C64AE1" w:rsidRDefault="005F24FD" w:rsidP="00007A88">
      <w:pPr>
        <w:widowControl/>
        <w:spacing w:line="60" w:lineRule="exact"/>
        <w:ind w:leftChars="1200" w:left="2520" w:firstLineChars="200" w:firstLine="420"/>
        <w:rPr>
          <w:rFonts w:ascii="楷体" w:eastAsia="楷体" w:hAnsi="楷体" w:cs="Times New Roman"/>
        </w:rPr>
      </w:pPr>
    </w:p>
    <w:p w:rsidR="007D1BAA" w:rsidRPr="00C64AE1" w:rsidRDefault="00007A88"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分市场</w:t>
      </w:r>
      <w:r w:rsidR="00C83D90" w:rsidRPr="00C64AE1">
        <w:rPr>
          <w:rFonts w:ascii="楷体" w:eastAsia="楷体" w:hAnsi="楷体" w:cs="Times New Roman" w:hint="eastAsia"/>
        </w:rPr>
        <w:t>区域</w:t>
      </w:r>
      <w:r w:rsidRPr="00C64AE1">
        <w:rPr>
          <w:rFonts w:ascii="楷体" w:eastAsia="楷体" w:hAnsi="楷体" w:cs="Times New Roman" w:hint="eastAsia"/>
        </w:rPr>
        <w:t>看，深证成指与上证综指</w:t>
      </w:r>
      <w:r w:rsidR="00C83D90" w:rsidRPr="00C64AE1">
        <w:rPr>
          <w:rFonts w:ascii="楷体" w:eastAsia="楷体" w:hAnsi="楷体" w:cs="Times New Roman" w:hint="eastAsia"/>
        </w:rPr>
        <w:t>在指数与成交额的</w:t>
      </w:r>
      <w:r w:rsidRPr="00C64AE1">
        <w:rPr>
          <w:rFonts w:ascii="楷体" w:eastAsia="楷体" w:hAnsi="楷体" w:cs="Times New Roman" w:hint="eastAsia"/>
        </w:rPr>
        <w:t>基本趋势相一致，呈趋势性震荡下行。</w:t>
      </w:r>
      <w:r w:rsidR="00FE0EF8" w:rsidRPr="00C64AE1">
        <w:rPr>
          <w:rFonts w:ascii="楷体" w:eastAsia="楷体" w:hAnsi="楷体" w:cs="Times New Roman" w:hint="eastAsia"/>
        </w:rPr>
        <w:t>自2018年以来，上证综指共发生3次放量下跌，时间分别：2018年3月23日、2018年6月19日、2018年7月24日。深圳成指分别在2018年3月12日、2018年4月2日以及2018年7月24日放量，与上证综指相似，</w:t>
      </w:r>
      <w:r w:rsidR="000B468A" w:rsidRPr="00C64AE1">
        <w:rPr>
          <w:rFonts w:ascii="楷体" w:eastAsia="楷体" w:hAnsi="楷体" w:cs="Times New Roman" w:hint="eastAsia"/>
        </w:rPr>
        <w:t>在去杠杆、降风险、中美贸易</w:t>
      </w:r>
      <w:r w:rsidR="0025402B" w:rsidRPr="00C64AE1">
        <w:rPr>
          <w:rFonts w:ascii="楷体" w:eastAsia="楷体" w:hAnsi="楷体" w:cs="Times New Roman" w:hint="eastAsia"/>
        </w:rPr>
        <w:t>摩擦</w:t>
      </w:r>
      <w:r w:rsidR="000B468A" w:rsidRPr="00C64AE1">
        <w:rPr>
          <w:rFonts w:ascii="楷体" w:eastAsia="楷体" w:hAnsi="楷体" w:cs="Times New Roman" w:hint="eastAsia"/>
        </w:rPr>
        <w:t>等多重因素</w:t>
      </w:r>
      <w:r w:rsidR="003367D1" w:rsidRPr="00C64AE1">
        <w:rPr>
          <w:rFonts w:ascii="楷体" w:eastAsia="楷体" w:hAnsi="楷体" w:cs="Times New Roman" w:hint="eastAsia"/>
        </w:rPr>
        <w:t>及悲观预期</w:t>
      </w:r>
      <w:r w:rsidR="000B468A" w:rsidRPr="00C64AE1">
        <w:rPr>
          <w:rFonts w:ascii="楷体" w:eastAsia="楷体" w:hAnsi="楷体" w:cs="Times New Roman" w:hint="eastAsia"/>
        </w:rPr>
        <w:t>的驱动下，</w:t>
      </w:r>
      <w:r w:rsidR="00FE0EF8" w:rsidRPr="00C64AE1">
        <w:rPr>
          <w:rFonts w:ascii="楷体" w:eastAsia="楷体" w:hAnsi="楷体" w:cs="Times New Roman" w:hint="eastAsia"/>
        </w:rPr>
        <w:t>每次放量伴随着股票指数震荡下行。</w:t>
      </w:r>
    </w:p>
    <w:p w:rsidR="00FE0EF8" w:rsidRPr="00C64AE1" w:rsidRDefault="00FE0EF8"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此外，上证综指、深证成指的成交额还具有如下规律：每次放量，成交额</w:t>
      </w:r>
      <w:r w:rsidR="002F6DC3" w:rsidRPr="00C64AE1">
        <w:rPr>
          <w:rFonts w:ascii="楷体" w:eastAsia="楷体" w:hAnsi="楷体" w:cs="Times New Roman" w:hint="eastAsia"/>
        </w:rPr>
        <w:t>存在约</w:t>
      </w:r>
      <w:r w:rsidRPr="00C64AE1">
        <w:rPr>
          <w:rFonts w:ascii="楷体" w:eastAsia="楷体" w:hAnsi="楷体" w:cs="Times New Roman" w:hint="eastAsia"/>
        </w:rPr>
        <w:t>1-3个月的</w:t>
      </w:r>
      <w:r w:rsidR="002F6DC3" w:rsidRPr="00C64AE1">
        <w:rPr>
          <w:rFonts w:ascii="楷体" w:eastAsia="楷体" w:hAnsi="楷体" w:cs="Times New Roman" w:hint="eastAsia"/>
        </w:rPr>
        <w:t>缩量下行区域。缩量</w:t>
      </w:r>
      <w:r w:rsidR="00824516" w:rsidRPr="00C64AE1">
        <w:rPr>
          <w:rFonts w:ascii="楷体" w:eastAsia="楷体" w:hAnsi="楷体" w:cs="Times New Roman" w:hint="eastAsia"/>
        </w:rPr>
        <w:t>下行</w:t>
      </w:r>
      <w:r w:rsidR="002F6DC3" w:rsidRPr="00C64AE1">
        <w:rPr>
          <w:rFonts w:ascii="楷体" w:eastAsia="楷体" w:hAnsi="楷体" w:cs="Times New Roman" w:hint="eastAsia"/>
        </w:rPr>
        <w:t>持续时间</w:t>
      </w:r>
      <w:r w:rsidR="007059E2" w:rsidRPr="00C64AE1">
        <w:rPr>
          <w:rFonts w:ascii="楷体" w:eastAsia="楷体" w:hAnsi="楷体" w:cs="Times New Roman" w:hint="eastAsia"/>
        </w:rPr>
        <w:t>约</w:t>
      </w:r>
      <w:r w:rsidR="002F6DC3" w:rsidRPr="00C64AE1">
        <w:rPr>
          <w:rFonts w:ascii="楷体" w:eastAsia="楷体" w:hAnsi="楷体" w:cs="Times New Roman" w:hint="eastAsia"/>
        </w:rPr>
        <w:t>达1个月：上证综指的2018年6月19日、深圳成指的2018年3月12日；缩量持续时间约达3个月：上证综指的2018年3月23日、2018年7月24日，深圳成指的2018年4月2日与2018年7月24日。</w:t>
      </w:r>
    </w:p>
    <w:p w:rsidR="00E96925" w:rsidRPr="00C64AE1" w:rsidRDefault="00824516"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从成交额的波动趋势看，上证综指与深证成指表现出轻微的量升价涨反弹态势，在创投概念炒作、以及中大</w:t>
      </w:r>
      <w:r w:rsidR="00F47803" w:rsidRPr="00C64AE1">
        <w:rPr>
          <w:rFonts w:ascii="楷体" w:eastAsia="楷体" w:hAnsi="楷体" w:cs="Times New Roman" w:hint="eastAsia"/>
        </w:rPr>
        <w:t>单、超大单主力</w:t>
      </w:r>
      <w:r w:rsidRPr="00C64AE1">
        <w:rPr>
          <w:rFonts w:ascii="楷体" w:eastAsia="楷体" w:hAnsi="楷体" w:cs="Times New Roman" w:hint="eastAsia"/>
        </w:rPr>
        <w:t>资金持续外流的环境下，</w:t>
      </w:r>
      <w:r w:rsidRPr="00C64AE1">
        <w:rPr>
          <w:rFonts w:ascii="楷体" w:eastAsia="楷体" w:hAnsi="楷体" w:cs="Times New Roman" w:hint="eastAsia"/>
          <w:b/>
        </w:rPr>
        <w:t>预期量升价涨的趋势不可延续，相对放量后将</w:t>
      </w:r>
      <w:r w:rsidR="000B468A" w:rsidRPr="00C64AE1">
        <w:rPr>
          <w:rFonts w:ascii="楷体" w:eastAsia="楷体" w:hAnsi="楷体" w:cs="Times New Roman" w:hint="eastAsia"/>
          <w:b/>
        </w:rPr>
        <w:t>延续之前的规律，</w:t>
      </w:r>
      <w:r w:rsidRPr="00C64AE1">
        <w:rPr>
          <w:rFonts w:ascii="楷体" w:eastAsia="楷体" w:hAnsi="楷体" w:cs="Times New Roman" w:hint="eastAsia"/>
          <w:b/>
        </w:rPr>
        <w:t>步入</w:t>
      </w:r>
      <w:r w:rsidR="000B468A" w:rsidRPr="00C64AE1">
        <w:rPr>
          <w:rFonts w:ascii="楷体" w:eastAsia="楷体" w:hAnsi="楷体" w:cs="Times New Roman" w:hint="eastAsia"/>
          <w:b/>
        </w:rPr>
        <w:t>相对持久的</w:t>
      </w:r>
      <w:r w:rsidRPr="00C64AE1">
        <w:rPr>
          <w:rFonts w:ascii="楷体" w:eastAsia="楷体" w:hAnsi="楷体" w:cs="Times New Roman" w:hint="eastAsia"/>
          <w:b/>
        </w:rPr>
        <w:t>缩量底部震荡下行或缩量底部箱体震荡</w:t>
      </w:r>
      <w:r w:rsidRPr="00C64AE1">
        <w:rPr>
          <w:rFonts w:ascii="楷体" w:eastAsia="楷体" w:hAnsi="楷体" w:cs="Times New Roman" w:hint="eastAsia"/>
        </w:rPr>
        <w:t>格局。</w:t>
      </w:r>
    </w:p>
    <w:p w:rsidR="00510A9C" w:rsidRPr="00C64AE1" w:rsidRDefault="00510A9C" w:rsidP="00446770">
      <w:pPr>
        <w:keepNext/>
        <w:widowControl/>
        <w:numPr>
          <w:ilvl w:val="1"/>
          <w:numId w:val="0"/>
        </w:numPr>
        <w:spacing w:beforeLines="50" w:line="360" w:lineRule="auto"/>
        <w:ind w:leftChars="1200" w:left="3026" w:hangingChars="180" w:hanging="506"/>
        <w:outlineLvl w:val="1"/>
        <w:rPr>
          <w:rFonts w:ascii="楷体" w:eastAsia="楷体" w:hAnsi="楷体" w:cs="Times New Roman"/>
          <w:b/>
          <w:sz w:val="28"/>
        </w:rPr>
      </w:pPr>
      <w:bookmarkStart w:id="15" w:name="_Toc531856900"/>
      <w:r w:rsidRPr="00C64AE1">
        <w:rPr>
          <w:rFonts w:ascii="楷体" w:eastAsia="楷体" w:hAnsi="楷体" w:cs="Times New Roman" w:hint="eastAsia"/>
          <w:b/>
          <w:sz w:val="28"/>
        </w:rPr>
        <w:lastRenderedPageBreak/>
        <w:t>1</w:t>
      </w:r>
      <w:r w:rsidRPr="00C64AE1">
        <w:rPr>
          <w:rFonts w:ascii="楷体" w:eastAsia="楷体" w:hAnsi="楷体" w:cs="Times New Roman"/>
          <w:b/>
          <w:sz w:val="28"/>
        </w:rPr>
        <w:t>.</w:t>
      </w:r>
      <w:r w:rsidRPr="00C64AE1">
        <w:rPr>
          <w:rFonts w:ascii="楷体" w:eastAsia="楷体" w:hAnsi="楷体" w:cs="Times New Roman" w:hint="eastAsia"/>
          <w:b/>
          <w:sz w:val="28"/>
        </w:rPr>
        <w:t>3</w:t>
      </w:r>
      <w:r w:rsidRPr="00C64AE1">
        <w:rPr>
          <w:rFonts w:ascii="楷体" w:eastAsia="楷体" w:hAnsi="楷体" w:cs="Times New Roman"/>
          <w:b/>
          <w:sz w:val="28"/>
        </w:rPr>
        <w:t xml:space="preserve"> </w:t>
      </w:r>
      <w:r w:rsidR="001E2FD7" w:rsidRPr="00C64AE1">
        <w:rPr>
          <w:rFonts w:ascii="楷体" w:eastAsia="楷体" w:hAnsi="楷体" w:cs="Times New Roman" w:hint="eastAsia"/>
          <w:b/>
          <w:sz w:val="28"/>
        </w:rPr>
        <w:t>主力资金流持续净流出，</w:t>
      </w:r>
      <w:r w:rsidR="004D4CCF" w:rsidRPr="00C64AE1">
        <w:rPr>
          <w:rFonts w:ascii="楷体" w:eastAsia="楷体" w:hAnsi="楷体" w:cs="Times New Roman" w:hint="eastAsia"/>
          <w:b/>
          <w:sz w:val="28"/>
        </w:rPr>
        <w:t>北向增量资金稳中有降</w:t>
      </w:r>
      <w:bookmarkEnd w:id="15"/>
    </w:p>
    <w:p w:rsidR="0014587A" w:rsidRPr="00C64AE1" w:rsidRDefault="0014587A" w:rsidP="00446770">
      <w:pPr>
        <w:keepNext/>
        <w:widowControl/>
        <w:numPr>
          <w:ilvl w:val="2"/>
          <w:numId w:val="0"/>
        </w:numPr>
        <w:spacing w:afterLines="50" w:line="360" w:lineRule="auto"/>
        <w:ind w:leftChars="1200" w:left="3122" w:hangingChars="250" w:hanging="602"/>
        <w:outlineLvl w:val="2"/>
        <w:rPr>
          <w:rFonts w:ascii="楷体" w:eastAsia="楷体" w:hAnsi="楷体" w:cs="Times New Roman"/>
          <w:b/>
          <w:sz w:val="24"/>
        </w:rPr>
      </w:pPr>
      <w:bookmarkStart w:id="16" w:name="_Toc531856901"/>
      <w:r w:rsidRPr="00C64AE1">
        <w:rPr>
          <w:rFonts w:ascii="楷体" w:eastAsia="楷体" w:hAnsi="楷体" w:cs="Times New Roman" w:hint="eastAsia"/>
          <w:b/>
          <w:sz w:val="24"/>
        </w:rPr>
        <w:t>1.3.1  主力资金持续净流出，后市反弹动能弱势</w:t>
      </w:r>
      <w:bookmarkEnd w:id="16"/>
    </w:p>
    <w:p w:rsidR="00B97EF3" w:rsidRPr="00C64AE1" w:rsidRDefault="00B97EF3" w:rsidP="00446770">
      <w:pPr>
        <w:widowControl/>
        <w:spacing w:beforeLines="50" w:afterLines="50" w:line="312" w:lineRule="auto"/>
        <w:ind w:leftChars="1200" w:left="2520" w:firstLineChars="200" w:firstLine="422"/>
        <w:rPr>
          <w:rFonts w:ascii="楷体" w:eastAsia="楷体" w:hAnsi="楷体" w:cs="Times New Roman"/>
        </w:rPr>
      </w:pPr>
      <w:r w:rsidRPr="00C64AE1">
        <w:rPr>
          <w:rFonts w:ascii="楷体" w:eastAsia="楷体" w:hAnsi="楷体" w:cs="Times New Roman" w:hint="eastAsia"/>
          <w:b/>
        </w:rPr>
        <w:t>A股总流入额延续低位震荡趋势，主力资金持续净流出。</w:t>
      </w:r>
      <w:r w:rsidRPr="00C64AE1">
        <w:rPr>
          <w:rFonts w:ascii="楷体" w:eastAsia="楷体" w:hAnsi="楷体" w:cs="Times New Roman" w:hint="eastAsia"/>
        </w:rPr>
        <w:t>据Wind统计，截止2018年11月30日，A股总流入额累计</w:t>
      </w:r>
      <w:r w:rsidR="001B2B45" w:rsidRPr="00C64AE1">
        <w:rPr>
          <w:rFonts w:ascii="楷体" w:eastAsia="楷体" w:hAnsi="楷体" w:cs="Times New Roman" w:hint="eastAsia"/>
        </w:rPr>
        <w:t>仅</w:t>
      </w:r>
      <w:r w:rsidRPr="00C64AE1">
        <w:rPr>
          <w:rFonts w:ascii="楷体" w:eastAsia="楷体" w:hAnsi="楷体" w:cs="Times New Roman" w:hint="eastAsia"/>
        </w:rPr>
        <w:t>691.06亿元，比2017年</w:t>
      </w:r>
      <w:r w:rsidR="001B2B45" w:rsidRPr="00C64AE1">
        <w:rPr>
          <w:rFonts w:ascii="楷体" w:eastAsia="楷体" w:hAnsi="楷体" w:cs="Times New Roman" w:hint="eastAsia"/>
        </w:rPr>
        <w:t>同期</w:t>
      </w:r>
      <w:r w:rsidRPr="00C64AE1">
        <w:rPr>
          <w:rFonts w:ascii="楷体" w:eastAsia="楷体" w:hAnsi="楷体" w:cs="Times New Roman" w:hint="eastAsia"/>
        </w:rPr>
        <w:t>减少6.63</w:t>
      </w:r>
      <w:r w:rsidRPr="00C64AE1">
        <w:rPr>
          <w:rFonts w:ascii="楷体" w:eastAsia="楷体" w:hAnsi="楷体" w:cs="Times New Roman"/>
        </w:rPr>
        <w:t>%</w:t>
      </w:r>
      <w:r w:rsidRPr="00C64AE1">
        <w:rPr>
          <w:rFonts w:ascii="楷体" w:eastAsia="楷体" w:hAnsi="楷体" w:cs="Times New Roman" w:hint="eastAsia"/>
        </w:rPr>
        <w:t>。从趋势上看，2018年2月始，在蓝筹驱动股市场震荡下行的环境下，沪深两市资金总流入额出现断崖式下跌，随后，</w:t>
      </w:r>
      <w:r w:rsidR="00271802" w:rsidRPr="00C64AE1">
        <w:rPr>
          <w:rFonts w:ascii="楷体" w:eastAsia="楷体" w:hAnsi="楷体" w:cs="Times New Roman" w:hint="eastAsia"/>
        </w:rPr>
        <w:t>沪深</w:t>
      </w:r>
      <w:r w:rsidRPr="00C64AE1">
        <w:rPr>
          <w:rFonts w:ascii="楷体" w:eastAsia="楷体" w:hAnsi="楷体" w:cs="Times New Roman" w:hint="eastAsia"/>
        </w:rPr>
        <w:t>两市资</w:t>
      </w:r>
      <w:r w:rsidR="00B6529A" w:rsidRPr="00C64AE1">
        <w:rPr>
          <w:rFonts w:ascii="楷体" w:eastAsia="楷体" w:hAnsi="楷体" w:cs="Times New Roman" w:hint="eastAsia"/>
        </w:rPr>
        <w:t>金</w:t>
      </w:r>
      <w:r w:rsidRPr="00C64AE1">
        <w:rPr>
          <w:rFonts w:ascii="楷体" w:eastAsia="楷体" w:hAnsi="楷体" w:cs="Times New Roman" w:hint="eastAsia"/>
        </w:rPr>
        <w:t>总流入额</w:t>
      </w:r>
      <w:r w:rsidR="001B2B45" w:rsidRPr="00C64AE1">
        <w:rPr>
          <w:rFonts w:ascii="楷体" w:eastAsia="楷体" w:hAnsi="楷体" w:cs="Times New Roman" w:hint="eastAsia"/>
        </w:rPr>
        <w:t>（周频）</w:t>
      </w:r>
      <w:r w:rsidRPr="00C64AE1">
        <w:rPr>
          <w:rFonts w:ascii="楷体" w:eastAsia="楷体" w:hAnsi="楷体" w:cs="Times New Roman" w:hint="eastAsia"/>
        </w:rPr>
        <w:t>进入-10亿至正35亿的箱体震荡区间。预期2019年第1季度A股资金总流入额箱体震荡的趋势将持续。</w:t>
      </w:r>
    </w:p>
    <w:p w:rsidR="00510A9C" w:rsidRPr="00C64AE1" w:rsidRDefault="00B97EF3"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主力资金方面，2018年仅3周实现主力资金净流入，占比为6.38%，结合市场趋势发现，每次反弹伴随着主力资金大幅度净流出。在内部稳杠杆、外部中美贸易摩擦以及其带来的非乐观预期等多重压力下，主力资金持续或大幅流出，将打压市场信心，对A股指数形成上行压力，在信心缺失、资金净流出以及政策见底的多重博弈下，预期A股指数延续缩量低迷、震荡偏空的趋势。</w:t>
      </w:r>
    </w:p>
    <w:tbl>
      <w:tblPr>
        <w:tblW w:w="10157" w:type="dxa"/>
        <w:jc w:val="center"/>
        <w:tblLayout w:type="fixed"/>
        <w:tblCellMar>
          <w:left w:w="0" w:type="dxa"/>
          <w:right w:w="0" w:type="dxa"/>
        </w:tblCellMar>
        <w:tblLook w:val="01E0"/>
      </w:tblPr>
      <w:tblGrid>
        <w:gridCol w:w="5051"/>
        <w:gridCol w:w="56"/>
        <w:gridCol w:w="5050"/>
      </w:tblGrid>
      <w:tr w:rsidR="002954E6" w:rsidRPr="00C64AE1" w:rsidTr="00D10FEB">
        <w:trPr>
          <w:trHeight w:hRule="exact" w:val="323"/>
          <w:jc w:val="center"/>
        </w:trPr>
        <w:tc>
          <w:tcPr>
            <w:tcW w:w="5051" w:type="dxa"/>
            <w:tcBorders>
              <w:bottom w:val="single" w:sz="12" w:space="0" w:color="CC0000"/>
            </w:tcBorders>
            <w:shd w:val="clear" w:color="auto" w:fill="auto"/>
            <w:noWrap/>
            <w:vAlign w:val="bottom"/>
          </w:tcPr>
          <w:p w:rsidR="002954E6" w:rsidRPr="00C64AE1" w:rsidRDefault="002954E6" w:rsidP="002954E6">
            <w:pPr>
              <w:keepNext/>
              <w:keepLines/>
              <w:rPr>
                <w:rFonts w:ascii="楷体" w:eastAsia="楷体" w:hAnsi="楷体" w:cs="Times New Roman"/>
                <w:sz w:val="20"/>
                <w:szCs w:val="20"/>
              </w:rPr>
            </w:pPr>
            <w:r w:rsidRPr="00C64AE1">
              <w:rPr>
                <w:rFonts w:ascii="楷体" w:eastAsia="楷体" w:hAnsi="楷体" w:cs="Times New Roman"/>
                <w:sz w:val="20"/>
                <w:szCs w:val="20"/>
              </w:rPr>
              <w:t>图</w:t>
            </w:r>
            <w:r w:rsidRPr="00C64AE1">
              <w:rPr>
                <w:rFonts w:ascii="楷体" w:eastAsia="楷体" w:hAnsi="楷体" w:cs="Times New Roman" w:hint="eastAsia"/>
                <w:sz w:val="20"/>
                <w:szCs w:val="20"/>
              </w:rPr>
              <w:t>8</w:t>
            </w:r>
            <w:r w:rsidRPr="00C64AE1">
              <w:rPr>
                <w:rFonts w:ascii="楷体" w:eastAsia="楷体" w:hAnsi="楷体" w:cs="Times New Roman"/>
                <w:sz w:val="20"/>
                <w:szCs w:val="20"/>
              </w:rPr>
              <w:t xml:space="preserve">  </w:t>
            </w:r>
            <w:r w:rsidRPr="00C64AE1">
              <w:rPr>
                <w:rFonts w:ascii="楷体" w:eastAsia="楷体" w:hAnsi="楷体" w:cs="Times New Roman" w:hint="eastAsia"/>
                <w:sz w:val="20"/>
                <w:szCs w:val="20"/>
              </w:rPr>
              <w:t>(沪深两市资金流整体趋势图)</w:t>
            </w:r>
          </w:p>
        </w:tc>
        <w:tc>
          <w:tcPr>
            <w:tcW w:w="56" w:type="dxa"/>
            <w:shd w:val="clear" w:color="auto" w:fill="auto"/>
            <w:vAlign w:val="bottom"/>
          </w:tcPr>
          <w:p w:rsidR="002954E6" w:rsidRPr="00C64AE1" w:rsidRDefault="002954E6" w:rsidP="00D10FEB">
            <w:pPr>
              <w:keepNext/>
              <w:keepLines/>
              <w:rPr>
                <w:rFonts w:ascii="楷体" w:eastAsia="楷体" w:hAnsi="楷体" w:cs="Times New Roman"/>
                <w:sz w:val="20"/>
                <w:szCs w:val="20"/>
              </w:rPr>
            </w:pPr>
          </w:p>
        </w:tc>
        <w:tc>
          <w:tcPr>
            <w:tcW w:w="5050" w:type="dxa"/>
            <w:tcBorders>
              <w:bottom w:val="single" w:sz="12" w:space="0" w:color="CC0000"/>
            </w:tcBorders>
            <w:shd w:val="clear" w:color="auto" w:fill="auto"/>
            <w:noWrap/>
            <w:vAlign w:val="bottom"/>
          </w:tcPr>
          <w:p w:rsidR="002954E6" w:rsidRPr="00C64AE1" w:rsidRDefault="002954E6" w:rsidP="002954E6">
            <w:pPr>
              <w:keepNext/>
              <w:keepLines/>
              <w:rPr>
                <w:rFonts w:ascii="楷体" w:eastAsia="楷体" w:hAnsi="楷体" w:cs="Times New Roman"/>
                <w:sz w:val="20"/>
                <w:szCs w:val="20"/>
              </w:rPr>
            </w:pPr>
            <w:r w:rsidRPr="00C64AE1">
              <w:rPr>
                <w:rFonts w:ascii="楷体" w:eastAsia="楷体" w:hAnsi="楷体" w:cs="Times New Roman"/>
                <w:sz w:val="20"/>
                <w:szCs w:val="20"/>
              </w:rPr>
              <w:t>图</w:t>
            </w:r>
            <w:r w:rsidRPr="00C64AE1">
              <w:rPr>
                <w:rFonts w:ascii="楷体" w:eastAsia="楷体" w:hAnsi="楷体" w:cs="Times New Roman" w:hint="eastAsia"/>
                <w:sz w:val="20"/>
                <w:szCs w:val="20"/>
              </w:rPr>
              <w:t>9</w:t>
            </w:r>
            <w:r w:rsidRPr="00C64AE1">
              <w:rPr>
                <w:rFonts w:ascii="楷体" w:eastAsia="楷体" w:hAnsi="楷体" w:cs="Times New Roman"/>
                <w:sz w:val="20"/>
                <w:szCs w:val="20"/>
              </w:rPr>
              <w:t xml:space="preserve">  </w:t>
            </w:r>
            <w:r w:rsidRPr="00C64AE1">
              <w:rPr>
                <w:rFonts w:ascii="楷体" w:eastAsia="楷体" w:hAnsi="楷体" w:cs="Times New Roman" w:hint="eastAsia"/>
                <w:sz w:val="20"/>
                <w:szCs w:val="20"/>
              </w:rPr>
              <w:t>(沪深两市资金结构配置图)</w:t>
            </w:r>
          </w:p>
        </w:tc>
      </w:tr>
      <w:tr w:rsidR="002954E6" w:rsidRPr="00C64AE1" w:rsidTr="002954E6">
        <w:trPr>
          <w:trHeight w:hRule="exact" w:val="3160"/>
          <w:jc w:val="center"/>
        </w:trPr>
        <w:tc>
          <w:tcPr>
            <w:tcW w:w="5051" w:type="dxa"/>
            <w:tcBorders>
              <w:top w:val="single" w:sz="12" w:space="0" w:color="CC0000"/>
              <w:bottom w:val="single" w:sz="12" w:space="0" w:color="CC0000"/>
            </w:tcBorders>
            <w:shd w:val="clear" w:color="auto" w:fill="auto"/>
            <w:noWrap/>
          </w:tcPr>
          <w:p w:rsidR="002954E6" w:rsidRPr="00C64AE1" w:rsidRDefault="000D2C46" w:rsidP="00D10FEB">
            <w:pPr>
              <w:keepNext/>
              <w:keepLines/>
              <w:jc w:val="center"/>
              <w:rPr>
                <w:rFonts w:ascii="楷体" w:eastAsia="楷体" w:hAnsi="楷体" w:cs="Times New Roman"/>
                <w:szCs w:val="24"/>
              </w:rPr>
            </w:pPr>
            <w:r w:rsidRPr="00C64AE1">
              <w:rPr>
                <w:rFonts w:ascii="楷体" w:eastAsia="楷体" w:hAnsi="楷体" w:cs="Times New Roman"/>
                <w:noProof/>
                <w:szCs w:val="24"/>
              </w:rPr>
              <w:drawing>
                <wp:inline distT="0" distB="0" distL="0" distR="0">
                  <wp:extent cx="3149384" cy="1854680"/>
                  <wp:effectExtent l="19050" t="0" r="12916" b="0"/>
                  <wp:docPr id="46" name="图表 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6" w:type="dxa"/>
            <w:shd w:val="clear" w:color="auto" w:fill="FFFFFF"/>
          </w:tcPr>
          <w:p w:rsidR="002954E6" w:rsidRPr="00C64AE1" w:rsidRDefault="002954E6" w:rsidP="00D10FEB">
            <w:pPr>
              <w:keepNext/>
              <w:keepLines/>
              <w:ind w:firstLine="420"/>
              <w:jc w:val="center"/>
              <w:rPr>
                <w:rFonts w:ascii="楷体" w:eastAsia="楷体" w:hAnsi="楷体" w:cs="Times New Roman"/>
                <w:szCs w:val="24"/>
              </w:rPr>
            </w:pPr>
          </w:p>
        </w:tc>
        <w:tc>
          <w:tcPr>
            <w:tcW w:w="5050" w:type="dxa"/>
            <w:tcBorders>
              <w:top w:val="single" w:sz="12" w:space="0" w:color="CC0000"/>
              <w:bottom w:val="single" w:sz="12" w:space="0" w:color="CC0000"/>
            </w:tcBorders>
            <w:shd w:val="clear" w:color="auto" w:fill="auto"/>
            <w:noWrap/>
          </w:tcPr>
          <w:p w:rsidR="002954E6" w:rsidRPr="00C64AE1" w:rsidRDefault="000D2C46" w:rsidP="00D10FEB">
            <w:pPr>
              <w:keepNext/>
              <w:keepLines/>
              <w:jc w:val="center"/>
              <w:rPr>
                <w:rFonts w:ascii="楷体" w:eastAsia="楷体" w:hAnsi="楷体" w:cs="Times New Roman"/>
                <w:szCs w:val="24"/>
              </w:rPr>
            </w:pPr>
            <w:r w:rsidRPr="00C64AE1">
              <w:rPr>
                <w:rFonts w:ascii="楷体" w:eastAsia="楷体" w:hAnsi="楷体" w:cs="Times New Roman"/>
                <w:noProof/>
                <w:szCs w:val="24"/>
              </w:rPr>
              <w:drawing>
                <wp:inline distT="0" distB="0" distL="0" distR="0">
                  <wp:extent cx="3133509" cy="1863306"/>
                  <wp:effectExtent l="19050" t="0" r="9741" b="3594"/>
                  <wp:docPr id="4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2954E6" w:rsidRPr="00C64AE1" w:rsidTr="00D10FEB">
        <w:trPr>
          <w:trHeight w:val="256"/>
          <w:jc w:val="center"/>
        </w:trPr>
        <w:tc>
          <w:tcPr>
            <w:tcW w:w="5051" w:type="dxa"/>
            <w:tcBorders>
              <w:top w:val="single" w:sz="12" w:space="0" w:color="CC0000"/>
            </w:tcBorders>
            <w:shd w:val="clear" w:color="auto" w:fill="auto"/>
            <w:noWrap/>
          </w:tcPr>
          <w:p w:rsidR="002954E6" w:rsidRPr="00C64AE1" w:rsidRDefault="002954E6" w:rsidP="00D10FEB">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c>
          <w:tcPr>
            <w:tcW w:w="56" w:type="dxa"/>
            <w:shd w:val="clear" w:color="auto" w:fill="auto"/>
          </w:tcPr>
          <w:p w:rsidR="002954E6" w:rsidRPr="00C64AE1" w:rsidRDefault="002954E6" w:rsidP="00D10FEB">
            <w:pPr>
              <w:keepNext/>
              <w:keepLines/>
              <w:rPr>
                <w:rFonts w:ascii="楷体" w:eastAsia="楷体" w:hAnsi="楷体" w:cs="Times New Roman"/>
                <w:sz w:val="20"/>
                <w:szCs w:val="20"/>
              </w:rPr>
            </w:pPr>
          </w:p>
        </w:tc>
        <w:tc>
          <w:tcPr>
            <w:tcW w:w="5050" w:type="dxa"/>
            <w:tcBorders>
              <w:top w:val="single" w:sz="12" w:space="0" w:color="CC0000"/>
            </w:tcBorders>
            <w:shd w:val="clear" w:color="auto" w:fill="auto"/>
            <w:noWrap/>
          </w:tcPr>
          <w:p w:rsidR="002954E6" w:rsidRPr="00C64AE1" w:rsidRDefault="002954E6" w:rsidP="00D10FEB">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r>
    </w:tbl>
    <w:p w:rsidR="002954E6" w:rsidRPr="00C64AE1" w:rsidRDefault="00862227"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资金</w:t>
      </w:r>
      <w:r w:rsidR="00930924" w:rsidRPr="00C64AE1">
        <w:rPr>
          <w:rFonts w:ascii="楷体" w:eastAsia="楷体" w:hAnsi="楷体" w:cs="Times New Roman" w:hint="eastAsia"/>
        </w:rPr>
        <w:t>结构上看，</w:t>
      </w:r>
      <w:r w:rsidRPr="00C64AE1">
        <w:rPr>
          <w:rFonts w:ascii="楷体" w:eastAsia="楷体" w:hAnsi="楷体" w:cs="Times New Roman" w:hint="eastAsia"/>
        </w:rPr>
        <w:t>20</w:t>
      </w:r>
      <w:r w:rsidR="00930924" w:rsidRPr="00C64AE1">
        <w:rPr>
          <w:rFonts w:ascii="楷体" w:eastAsia="楷体" w:hAnsi="楷体" w:cs="Times New Roman" w:hint="eastAsia"/>
        </w:rPr>
        <w:t>18年超大单、大单与中单资金净流入额长期为负值，</w:t>
      </w:r>
      <w:r w:rsidR="00BE7267" w:rsidRPr="00C64AE1">
        <w:rPr>
          <w:rFonts w:ascii="楷体" w:eastAsia="楷体" w:hAnsi="楷体" w:cs="Times New Roman" w:hint="eastAsia"/>
        </w:rPr>
        <w:t>周频数据的</w:t>
      </w:r>
      <w:r w:rsidR="00930924" w:rsidRPr="00C64AE1">
        <w:rPr>
          <w:rFonts w:ascii="楷体" w:eastAsia="楷体" w:hAnsi="楷体" w:cs="Times New Roman" w:hint="eastAsia"/>
        </w:rPr>
        <w:t>流出额</w:t>
      </w:r>
      <w:r w:rsidR="00BE7267" w:rsidRPr="00C64AE1">
        <w:rPr>
          <w:rFonts w:ascii="楷体" w:eastAsia="楷体" w:hAnsi="楷体" w:cs="Times New Roman" w:hint="eastAsia"/>
        </w:rPr>
        <w:t>有1大3小或3小1大的</w:t>
      </w:r>
      <w:r w:rsidR="00E542D5" w:rsidRPr="00C64AE1">
        <w:rPr>
          <w:rFonts w:ascii="楷体" w:eastAsia="楷体" w:hAnsi="楷体" w:cs="Times New Roman" w:hint="eastAsia"/>
        </w:rPr>
        <w:t>逐步递减</w:t>
      </w:r>
      <w:r w:rsidR="00BE7267" w:rsidRPr="00C64AE1">
        <w:rPr>
          <w:rFonts w:ascii="楷体" w:eastAsia="楷体" w:hAnsi="楷体" w:cs="Times New Roman" w:hint="eastAsia"/>
        </w:rPr>
        <w:t>规律；小单净流入额周频数据均为正值。</w:t>
      </w:r>
      <w:r w:rsidR="00181C1B" w:rsidRPr="00C64AE1">
        <w:rPr>
          <w:rFonts w:ascii="楷体" w:eastAsia="楷体" w:hAnsi="楷体" w:cs="Times New Roman" w:hint="eastAsia"/>
        </w:rPr>
        <w:t>无论超大单、中</w:t>
      </w:r>
      <w:r w:rsidR="0092260A" w:rsidRPr="00C64AE1">
        <w:rPr>
          <w:rFonts w:ascii="楷体" w:eastAsia="楷体" w:hAnsi="楷体" w:cs="Times New Roman" w:hint="eastAsia"/>
        </w:rPr>
        <w:t>大</w:t>
      </w:r>
      <w:r w:rsidR="00181C1B" w:rsidRPr="00C64AE1">
        <w:rPr>
          <w:rFonts w:ascii="楷体" w:eastAsia="楷体" w:hAnsi="楷体" w:cs="Times New Roman" w:hint="eastAsia"/>
        </w:rPr>
        <w:t>单净流出额，</w:t>
      </w:r>
      <w:r w:rsidR="003367D1" w:rsidRPr="00C64AE1">
        <w:rPr>
          <w:rFonts w:ascii="楷体" w:eastAsia="楷体" w:hAnsi="楷体" w:cs="Times New Roman" w:hint="eastAsia"/>
        </w:rPr>
        <w:t>还是小单流入额皆出现尾部特征，预期资金净流出或净流入的边际效应</w:t>
      </w:r>
      <w:r w:rsidR="00181C1B" w:rsidRPr="00C64AE1">
        <w:rPr>
          <w:rFonts w:ascii="楷体" w:eastAsia="楷体" w:hAnsi="楷体" w:cs="Times New Roman" w:hint="eastAsia"/>
        </w:rPr>
        <w:t>有所缩减，上行动力不足与流量资金萎靡的状况下，预期市场资金或再次步入存量中的缩量博弈阶段，</w:t>
      </w:r>
      <w:r w:rsidR="0092260A" w:rsidRPr="00C64AE1">
        <w:rPr>
          <w:rFonts w:ascii="楷体" w:eastAsia="楷体" w:hAnsi="楷体" w:cs="Times New Roman" w:hint="eastAsia"/>
        </w:rPr>
        <w:t>预期</w:t>
      </w:r>
      <w:r w:rsidR="00181C1B" w:rsidRPr="00C64AE1">
        <w:rPr>
          <w:rFonts w:ascii="楷体" w:eastAsia="楷体" w:hAnsi="楷体" w:cs="Times New Roman" w:hint="eastAsia"/>
        </w:rPr>
        <w:t>后续市场行情主要以震荡区间内的结构性机会为主</w:t>
      </w:r>
      <w:r w:rsidR="0092260A" w:rsidRPr="00C64AE1">
        <w:rPr>
          <w:rFonts w:ascii="楷体" w:eastAsia="楷体" w:hAnsi="楷体" w:cs="Times New Roman" w:hint="eastAsia"/>
        </w:rPr>
        <w:t>，反</w:t>
      </w:r>
      <w:r w:rsidR="005A29DD" w:rsidRPr="00C64AE1">
        <w:rPr>
          <w:rFonts w:ascii="楷体" w:eastAsia="楷体" w:hAnsi="楷体" w:cs="Times New Roman" w:hint="eastAsia"/>
        </w:rPr>
        <w:t>弹</w:t>
      </w:r>
      <w:r w:rsidR="0092260A" w:rsidRPr="00C64AE1">
        <w:rPr>
          <w:rFonts w:ascii="楷体" w:eastAsia="楷体" w:hAnsi="楷体" w:cs="Times New Roman" w:hint="eastAsia"/>
        </w:rPr>
        <w:t>动能略显不足</w:t>
      </w:r>
      <w:r w:rsidR="00930924" w:rsidRPr="00C64AE1">
        <w:rPr>
          <w:rFonts w:ascii="楷体" w:eastAsia="楷体" w:hAnsi="楷体" w:cs="Times New Roman" w:hint="eastAsia"/>
        </w:rPr>
        <w:t>。</w:t>
      </w:r>
    </w:p>
    <w:p w:rsidR="00380DC7" w:rsidRPr="00C64AE1" w:rsidRDefault="00380DC7"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板块配置上，2018年以来，沪深主力资金净流入额整体为负，相对主板资金大幅且震荡流出而言，中小板、创业板的资金相对稳定，但处于相对净流出状态</w:t>
      </w:r>
      <w:r w:rsidR="003367D1" w:rsidRPr="00C64AE1">
        <w:rPr>
          <w:rFonts w:ascii="楷体" w:eastAsia="楷体" w:hAnsi="楷体" w:cs="Times New Roman" w:hint="eastAsia"/>
        </w:rPr>
        <w:t>（如图9）</w:t>
      </w:r>
      <w:r w:rsidR="001B2B45" w:rsidRPr="00C64AE1">
        <w:rPr>
          <w:rFonts w:ascii="楷体" w:eastAsia="楷体" w:hAnsi="楷体" w:cs="Times New Roman" w:hint="eastAsia"/>
        </w:rPr>
        <w:t>。板块资金的</w:t>
      </w:r>
      <w:r w:rsidRPr="00C64AE1">
        <w:rPr>
          <w:rFonts w:ascii="楷体" w:eastAsia="楷体" w:hAnsi="楷体" w:cs="Times New Roman" w:hint="eastAsia"/>
        </w:rPr>
        <w:t>波动趋势表明，</w:t>
      </w:r>
      <w:r w:rsidRPr="00C64AE1">
        <w:rPr>
          <w:rFonts w:ascii="楷体" w:eastAsia="楷体" w:hAnsi="楷体" w:cs="Times New Roman" w:hint="eastAsia"/>
          <w:b/>
        </w:rPr>
        <w:t>创业板、中小板指的主力资金</w:t>
      </w:r>
      <w:r w:rsidR="003367D1" w:rsidRPr="00C64AE1">
        <w:rPr>
          <w:rFonts w:ascii="楷体" w:eastAsia="楷体" w:hAnsi="楷体" w:cs="Times New Roman" w:hint="eastAsia"/>
          <w:b/>
        </w:rPr>
        <w:t>净流入</w:t>
      </w:r>
      <w:r w:rsidR="001B2B45" w:rsidRPr="00C64AE1">
        <w:rPr>
          <w:rFonts w:ascii="楷体" w:eastAsia="楷体" w:hAnsi="楷体" w:cs="Times New Roman" w:hint="eastAsia"/>
          <w:b/>
        </w:rPr>
        <w:t>额呈反弹状态</w:t>
      </w:r>
      <w:r w:rsidR="003367D1" w:rsidRPr="00C64AE1">
        <w:rPr>
          <w:rFonts w:ascii="楷体" w:eastAsia="楷体" w:hAnsi="楷体" w:cs="Times New Roman" w:hint="eastAsia"/>
          <w:b/>
        </w:rPr>
        <w:t>，且</w:t>
      </w:r>
      <w:r w:rsidRPr="00C64AE1">
        <w:rPr>
          <w:rFonts w:ascii="楷体" w:eastAsia="楷体" w:hAnsi="楷体" w:cs="Times New Roman" w:hint="eastAsia"/>
          <w:b/>
        </w:rPr>
        <w:t>有向上突破</w:t>
      </w:r>
      <w:r w:rsidR="001B2B45" w:rsidRPr="00C64AE1">
        <w:rPr>
          <w:rFonts w:ascii="楷体" w:eastAsia="楷体" w:hAnsi="楷体" w:cs="Times New Roman" w:hint="eastAsia"/>
          <w:b/>
        </w:rPr>
        <w:t>的</w:t>
      </w:r>
      <w:r w:rsidRPr="00C64AE1">
        <w:rPr>
          <w:rFonts w:ascii="楷体" w:eastAsia="楷体" w:hAnsi="楷体" w:cs="Times New Roman" w:hint="eastAsia"/>
          <w:b/>
        </w:rPr>
        <w:t>趋势。</w:t>
      </w:r>
      <w:r w:rsidR="001B2B45" w:rsidRPr="00C64AE1">
        <w:rPr>
          <w:rFonts w:ascii="楷体" w:eastAsia="楷体" w:hAnsi="楷体" w:cs="Times New Roman" w:hint="eastAsia"/>
        </w:rPr>
        <w:t>若后市存在反弹行情</w:t>
      </w:r>
      <w:r w:rsidRPr="00C64AE1">
        <w:rPr>
          <w:rFonts w:ascii="楷体" w:eastAsia="楷体" w:hAnsi="楷体" w:cs="Times New Roman" w:hint="eastAsia"/>
        </w:rPr>
        <w:t>，</w:t>
      </w:r>
      <w:r w:rsidR="003367D1" w:rsidRPr="00C64AE1">
        <w:rPr>
          <w:rFonts w:ascii="楷体" w:eastAsia="楷体" w:hAnsi="楷体" w:cs="Times New Roman" w:hint="eastAsia"/>
        </w:rPr>
        <w:t>预期</w:t>
      </w:r>
      <w:r w:rsidRPr="00C64AE1">
        <w:rPr>
          <w:rFonts w:ascii="楷体" w:eastAsia="楷体" w:hAnsi="楷体" w:cs="Times New Roman" w:hint="eastAsia"/>
        </w:rPr>
        <w:t>中小板、创业板将领先于主板复苏。</w:t>
      </w:r>
    </w:p>
    <w:p w:rsidR="00C87534" w:rsidRPr="00C64AE1" w:rsidRDefault="00C87534"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综上所述，沪深两市主力资金持续净流出，散户与游资再次贡献“血液”，助</w:t>
      </w:r>
      <w:r w:rsidR="00732C35" w:rsidRPr="00C64AE1">
        <w:rPr>
          <w:rFonts w:ascii="楷体" w:eastAsia="楷体" w:hAnsi="楷体" w:cs="Times New Roman" w:hint="eastAsia"/>
        </w:rPr>
        <w:t>力</w:t>
      </w:r>
      <w:r w:rsidRPr="00C64AE1">
        <w:rPr>
          <w:rFonts w:ascii="楷体" w:eastAsia="楷体" w:hAnsi="楷体" w:cs="Times New Roman" w:hint="eastAsia"/>
        </w:rPr>
        <w:t>主力资金出清，</w:t>
      </w:r>
      <w:r w:rsidR="00C90A01" w:rsidRPr="00C64AE1">
        <w:rPr>
          <w:rFonts w:ascii="楷体" w:eastAsia="楷体" w:hAnsi="楷体" w:cs="Times New Roman" w:hint="eastAsia"/>
        </w:rPr>
        <w:t>形成散户、游资与主力资金对抗的境况，其结果必然引起部分概念</w:t>
      </w:r>
      <w:r w:rsidR="005F0FE4" w:rsidRPr="00C64AE1">
        <w:rPr>
          <w:rFonts w:ascii="楷体" w:eastAsia="楷体" w:hAnsi="楷体" w:cs="Times New Roman" w:hint="eastAsia"/>
        </w:rPr>
        <w:t>股</w:t>
      </w:r>
      <w:r w:rsidR="00C90A01" w:rsidRPr="00C64AE1">
        <w:rPr>
          <w:rFonts w:ascii="楷体" w:eastAsia="楷体" w:hAnsi="楷体" w:cs="Times New Roman" w:hint="eastAsia"/>
        </w:rPr>
        <w:t>暴涨暴跌，</w:t>
      </w:r>
      <w:r w:rsidR="00C90A01" w:rsidRPr="00C64AE1">
        <w:rPr>
          <w:rFonts w:ascii="楷体" w:eastAsia="楷体" w:hAnsi="楷体" w:cs="Times New Roman" w:hint="eastAsia"/>
        </w:rPr>
        <w:lastRenderedPageBreak/>
        <w:t>比如近期的创投</w:t>
      </w:r>
      <w:r w:rsidR="00E20807" w:rsidRPr="00C64AE1">
        <w:rPr>
          <w:rFonts w:ascii="楷体" w:eastAsia="楷体" w:hAnsi="楷体" w:cs="Times New Roman" w:hint="eastAsia"/>
        </w:rPr>
        <w:t>、独角兽</w:t>
      </w:r>
      <w:r w:rsidR="00C90A01" w:rsidRPr="00C64AE1">
        <w:rPr>
          <w:rFonts w:ascii="楷体" w:eastAsia="楷体" w:hAnsi="楷体" w:cs="Times New Roman" w:hint="eastAsia"/>
        </w:rPr>
        <w:t>概念</w:t>
      </w:r>
      <w:r w:rsidR="003367D1" w:rsidRPr="00C64AE1">
        <w:rPr>
          <w:rFonts w:ascii="楷体" w:eastAsia="楷体" w:hAnsi="楷体" w:cs="Times New Roman" w:hint="eastAsia"/>
        </w:rPr>
        <w:t>、5G概念</w:t>
      </w:r>
      <w:r w:rsidR="00C90A01" w:rsidRPr="00C64AE1">
        <w:rPr>
          <w:rFonts w:ascii="楷体" w:eastAsia="楷体" w:hAnsi="楷体" w:cs="Times New Roman" w:hint="eastAsia"/>
        </w:rPr>
        <w:t>等，难以在资本市场或某一指数上形成一个趋势性方向。虽有政策底或政策性利好的出现，在资金流向分歧与资本人的逐利特性的驱动下，我们仍然认为，市场将延续震荡偏空的判断。</w:t>
      </w:r>
    </w:p>
    <w:tbl>
      <w:tblPr>
        <w:tblW w:w="10206" w:type="dxa"/>
        <w:tblInd w:w="284" w:type="dxa"/>
        <w:tblBorders>
          <w:insideH w:val="double" w:sz="4" w:space="0" w:color="333399"/>
          <w:insideV w:val="double" w:sz="4" w:space="0" w:color="333399"/>
        </w:tblBorders>
        <w:tblLayout w:type="fixed"/>
        <w:tblCellMar>
          <w:left w:w="0" w:type="dxa"/>
          <w:right w:w="0" w:type="dxa"/>
        </w:tblCellMar>
        <w:tblLook w:val="04A0"/>
      </w:tblPr>
      <w:tblGrid>
        <w:gridCol w:w="10206"/>
      </w:tblGrid>
      <w:tr w:rsidR="00380DC7" w:rsidRPr="00C64AE1" w:rsidTr="009966CE">
        <w:trPr>
          <w:trHeight w:val="343"/>
        </w:trPr>
        <w:tc>
          <w:tcPr>
            <w:tcW w:w="10206" w:type="dxa"/>
            <w:tcBorders>
              <w:top w:val="nil"/>
              <w:bottom w:val="single" w:sz="12" w:space="0" w:color="CC0000"/>
            </w:tcBorders>
            <w:shd w:val="clear" w:color="auto" w:fill="auto"/>
            <w:vAlign w:val="bottom"/>
          </w:tcPr>
          <w:p w:rsidR="00380DC7" w:rsidRPr="00C64AE1" w:rsidRDefault="00380DC7" w:rsidP="009966CE">
            <w:pPr>
              <w:keepNext/>
              <w:keepLines/>
              <w:rPr>
                <w:rFonts w:ascii="楷体" w:eastAsia="楷体" w:hAnsi="楷体" w:cs="Times New Roman"/>
                <w:sz w:val="20"/>
                <w:szCs w:val="20"/>
              </w:rPr>
            </w:pPr>
            <w:r w:rsidRPr="00C64AE1">
              <w:rPr>
                <w:rFonts w:ascii="楷体" w:eastAsia="楷体" w:hAnsi="楷体" w:cs="Times New Roman"/>
                <w:sz w:val="20"/>
                <w:szCs w:val="20"/>
              </w:rPr>
              <w:t>图</w:t>
            </w:r>
            <w:r w:rsidR="009966CE" w:rsidRPr="00C64AE1">
              <w:rPr>
                <w:rFonts w:ascii="楷体" w:eastAsia="楷体" w:hAnsi="楷体" w:cs="Times New Roman" w:hint="eastAsia"/>
                <w:sz w:val="20"/>
                <w:szCs w:val="20"/>
              </w:rPr>
              <w:t>10</w:t>
            </w:r>
            <w:r w:rsidRPr="00C64AE1">
              <w:rPr>
                <w:rFonts w:ascii="楷体" w:eastAsia="楷体" w:hAnsi="楷体" w:cs="Times New Roman"/>
                <w:sz w:val="20"/>
                <w:szCs w:val="20"/>
              </w:rPr>
              <w:t xml:space="preserve"> </w:t>
            </w:r>
            <w:r w:rsidRPr="00C64AE1">
              <w:rPr>
                <w:rFonts w:ascii="楷体" w:eastAsia="楷体" w:hAnsi="楷体" w:cs="Times New Roman" w:hint="eastAsia"/>
                <w:sz w:val="20"/>
                <w:szCs w:val="20"/>
              </w:rPr>
              <w:t>（2018年以来，A股资金板块配置及趋势图）</w:t>
            </w:r>
          </w:p>
        </w:tc>
      </w:tr>
      <w:tr w:rsidR="00380DC7" w:rsidRPr="00C64AE1" w:rsidTr="009966CE">
        <w:tblPrEx>
          <w:tblCellMar>
            <w:left w:w="108" w:type="dxa"/>
            <w:right w:w="108" w:type="dxa"/>
          </w:tblCellMar>
        </w:tblPrEx>
        <w:trPr>
          <w:trHeight w:hRule="exact" w:val="4417"/>
        </w:trPr>
        <w:tc>
          <w:tcPr>
            <w:tcW w:w="10206" w:type="dxa"/>
            <w:tcBorders>
              <w:top w:val="single" w:sz="12" w:space="0" w:color="CC0000"/>
              <w:bottom w:val="single" w:sz="12" w:space="0" w:color="CC0000"/>
            </w:tcBorders>
            <w:shd w:val="clear" w:color="auto" w:fill="auto"/>
          </w:tcPr>
          <w:p w:rsidR="00380DC7" w:rsidRPr="00C64AE1" w:rsidRDefault="000D2C46" w:rsidP="009966CE">
            <w:pPr>
              <w:keepNext/>
              <w:keepLines/>
              <w:ind w:leftChars="-793" w:hangingChars="793" w:hanging="1665"/>
              <w:jc w:val="right"/>
              <w:rPr>
                <w:rFonts w:ascii="楷体" w:eastAsia="楷体" w:hAnsi="楷体" w:cs="Times New Roman"/>
                <w:szCs w:val="21"/>
              </w:rPr>
            </w:pPr>
            <w:r w:rsidRPr="00C64AE1">
              <w:rPr>
                <w:rFonts w:ascii="楷体" w:eastAsia="楷体" w:hAnsi="楷体" w:cs="Times New Roman"/>
                <w:noProof/>
                <w:szCs w:val="21"/>
              </w:rPr>
              <w:drawing>
                <wp:inline distT="0" distB="0" distL="0" distR="0">
                  <wp:extent cx="6206490" cy="2655736"/>
                  <wp:effectExtent l="19050" t="0" r="22860" b="0"/>
                  <wp:docPr id="4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380DC7" w:rsidRPr="00C64AE1" w:rsidTr="009966CE">
        <w:trPr>
          <w:trHeight w:val="343"/>
        </w:trPr>
        <w:tc>
          <w:tcPr>
            <w:tcW w:w="10206" w:type="dxa"/>
            <w:tcBorders>
              <w:top w:val="single" w:sz="12" w:space="0" w:color="CC0000"/>
              <w:bottom w:val="nil"/>
            </w:tcBorders>
            <w:shd w:val="clear" w:color="auto" w:fill="auto"/>
            <w:vAlign w:val="bottom"/>
          </w:tcPr>
          <w:p w:rsidR="00380DC7" w:rsidRPr="00C64AE1" w:rsidRDefault="00380DC7" w:rsidP="009966CE">
            <w:pPr>
              <w:keepNext/>
              <w:keepLines/>
              <w:rPr>
                <w:rFonts w:ascii="楷体" w:eastAsia="楷体" w:hAnsi="楷体" w:cs="Times New Roman"/>
                <w:sz w:val="20"/>
                <w:szCs w:val="20"/>
              </w:rPr>
            </w:pPr>
            <w:r w:rsidRPr="00C64AE1">
              <w:rPr>
                <w:rFonts w:ascii="楷体" w:eastAsia="楷体" w:hAnsi="楷体" w:cs="Times New Roman" w:hint="eastAsia"/>
                <w:sz w:val="20"/>
                <w:szCs w:val="20"/>
              </w:rPr>
              <w:t>资料来源：Wind，中山证券研究所</w:t>
            </w:r>
          </w:p>
        </w:tc>
      </w:tr>
    </w:tbl>
    <w:p w:rsidR="0014587A" w:rsidRPr="00C64AE1" w:rsidRDefault="0014587A" w:rsidP="00446770">
      <w:pPr>
        <w:keepNext/>
        <w:widowControl/>
        <w:numPr>
          <w:ilvl w:val="2"/>
          <w:numId w:val="0"/>
        </w:numPr>
        <w:spacing w:beforeLines="50" w:afterLines="50" w:line="360" w:lineRule="auto"/>
        <w:ind w:leftChars="1200" w:left="3122" w:hangingChars="250" w:hanging="602"/>
        <w:outlineLvl w:val="2"/>
        <w:rPr>
          <w:rFonts w:ascii="楷体" w:eastAsia="楷体" w:hAnsi="楷体" w:cs="Times New Roman"/>
          <w:b/>
          <w:sz w:val="24"/>
        </w:rPr>
      </w:pPr>
      <w:bookmarkStart w:id="17" w:name="_Toc531856902"/>
      <w:r w:rsidRPr="00C64AE1">
        <w:rPr>
          <w:rFonts w:ascii="楷体" w:eastAsia="楷体" w:hAnsi="楷体" w:cs="Times New Roman" w:hint="eastAsia"/>
          <w:b/>
          <w:sz w:val="24"/>
        </w:rPr>
        <w:t>1.3.2  北上资金</w:t>
      </w:r>
      <w:r w:rsidR="00671DAD" w:rsidRPr="00C64AE1">
        <w:rPr>
          <w:rFonts w:ascii="楷体" w:eastAsia="楷体" w:hAnsi="楷体" w:cs="Times New Roman" w:hint="eastAsia"/>
          <w:b/>
          <w:sz w:val="24"/>
        </w:rPr>
        <w:t>增量增速放缓</w:t>
      </w:r>
      <w:r w:rsidRPr="00C64AE1">
        <w:rPr>
          <w:rFonts w:ascii="楷体" w:eastAsia="楷体" w:hAnsi="楷体" w:cs="Times New Roman" w:hint="eastAsia"/>
          <w:b/>
          <w:sz w:val="24"/>
        </w:rPr>
        <w:t>，</w:t>
      </w:r>
      <w:r w:rsidR="001B3098" w:rsidRPr="00C64AE1">
        <w:rPr>
          <w:rFonts w:ascii="楷体" w:eastAsia="楷体" w:hAnsi="楷体" w:cs="Times New Roman" w:hint="eastAsia"/>
          <w:b/>
          <w:sz w:val="24"/>
        </w:rPr>
        <w:t>配比相对</w:t>
      </w:r>
      <w:r w:rsidR="007C1848" w:rsidRPr="00C64AE1">
        <w:rPr>
          <w:rFonts w:ascii="楷体" w:eastAsia="楷体" w:hAnsi="楷体" w:cs="Times New Roman" w:hint="eastAsia"/>
          <w:b/>
          <w:sz w:val="24"/>
        </w:rPr>
        <w:t>偏</w:t>
      </w:r>
      <w:r w:rsidR="001B3098" w:rsidRPr="00C64AE1">
        <w:rPr>
          <w:rFonts w:ascii="楷体" w:eastAsia="楷体" w:hAnsi="楷体" w:cs="Times New Roman" w:hint="eastAsia"/>
          <w:b/>
          <w:sz w:val="24"/>
        </w:rPr>
        <w:t>低</w:t>
      </w:r>
      <w:bookmarkEnd w:id="17"/>
    </w:p>
    <w:p w:rsidR="0014587A" w:rsidRPr="00C64AE1" w:rsidRDefault="00286899" w:rsidP="00446770">
      <w:pPr>
        <w:spacing w:afterLines="50" w:line="312" w:lineRule="auto"/>
        <w:ind w:leftChars="1200" w:left="2520" w:right="102" w:firstLineChars="200" w:firstLine="420"/>
        <w:rPr>
          <w:rFonts w:ascii="楷体" w:eastAsia="楷体" w:hAnsi="楷体"/>
        </w:rPr>
      </w:pPr>
      <w:r w:rsidRPr="00C64AE1">
        <w:rPr>
          <w:rFonts w:ascii="楷体" w:eastAsia="楷体" w:hAnsi="楷体" w:cs="Times New Roman" w:hint="eastAsia"/>
        </w:rPr>
        <w:t>北上资金方面，</w:t>
      </w:r>
      <w:r w:rsidRPr="00C64AE1">
        <w:rPr>
          <w:rFonts w:ascii="楷体" w:eastAsia="楷体" w:hAnsi="楷体" w:hint="eastAsia"/>
          <w:b/>
        </w:rPr>
        <w:t>预期2019年北上资金存量规模稳中有升，流量资金增速将有所放缓。</w:t>
      </w:r>
      <w:r w:rsidRPr="00C64AE1">
        <w:rPr>
          <w:rFonts w:ascii="楷体" w:eastAsia="楷体" w:hAnsi="楷体" w:hint="eastAsia"/>
        </w:rPr>
        <w:t>据Wind统计，截至2018年11月</w:t>
      </w:r>
      <w:r w:rsidR="005F0FE4" w:rsidRPr="00C64AE1">
        <w:rPr>
          <w:rFonts w:ascii="楷体" w:eastAsia="楷体" w:hAnsi="楷体" w:hint="eastAsia"/>
        </w:rPr>
        <w:t>30</w:t>
      </w:r>
      <w:r w:rsidRPr="00C64AE1">
        <w:rPr>
          <w:rFonts w:ascii="楷体" w:eastAsia="楷体" w:hAnsi="楷体" w:hint="eastAsia"/>
        </w:rPr>
        <w:t>日，自沪港通、深港通开通以来，陆股通（沪股通与深股通，下同）累计净买入6255.91亿元，环比增长72.79</w:t>
      </w:r>
      <w:r w:rsidRPr="00C64AE1">
        <w:rPr>
          <w:rFonts w:ascii="楷体" w:eastAsia="楷体" w:hAnsi="楷体"/>
        </w:rPr>
        <w:t>%</w:t>
      </w:r>
      <w:r w:rsidRPr="00C64AE1">
        <w:rPr>
          <w:rFonts w:ascii="楷体" w:eastAsia="楷体" w:hAnsi="楷体" w:hint="eastAsia"/>
        </w:rPr>
        <w:t>。2</w:t>
      </w:r>
      <w:r w:rsidRPr="00C64AE1">
        <w:rPr>
          <w:rFonts w:ascii="楷体" w:eastAsia="楷体" w:hAnsi="楷体"/>
        </w:rPr>
        <w:t>018</w:t>
      </w:r>
      <w:r w:rsidRPr="00C64AE1">
        <w:rPr>
          <w:rFonts w:ascii="楷体" w:eastAsia="楷体" w:hAnsi="楷体" w:hint="eastAsia"/>
        </w:rPr>
        <w:t>年北上成交净买入额合计2780.75亿元，相比2</w:t>
      </w:r>
      <w:r w:rsidRPr="00C64AE1">
        <w:rPr>
          <w:rFonts w:ascii="楷体" w:eastAsia="楷体" w:hAnsi="楷体"/>
        </w:rPr>
        <w:t>017</w:t>
      </w:r>
      <w:r w:rsidRPr="00C64AE1">
        <w:rPr>
          <w:rFonts w:ascii="楷体" w:eastAsia="楷体" w:hAnsi="楷体" w:hint="eastAsia"/>
        </w:rPr>
        <w:t>年同期成交净买入额为1911.72亿元，同比增加45.46%，从周度数据上看，受A股市场低迷的影响，2018年1-3月，北上资金流入速度变缓；随着A股纳入MSCI指数</w:t>
      </w:r>
      <w:r w:rsidR="005F0FE4" w:rsidRPr="00C64AE1">
        <w:rPr>
          <w:rFonts w:ascii="楷体" w:eastAsia="楷体" w:hAnsi="楷体" w:hint="eastAsia"/>
        </w:rPr>
        <w:t>等</w:t>
      </w:r>
      <w:r w:rsidRPr="00C64AE1">
        <w:rPr>
          <w:rFonts w:ascii="楷体" w:eastAsia="楷体" w:hAnsi="楷体" w:hint="eastAsia"/>
        </w:rPr>
        <w:t>利好消息到来，4-6月北上资金入场速度出现明显加快；此后受内外环境的不确定性影响，加剧资本市场震荡与资金外流，国庆后一周创下历史新低，单周流出169.68亿元；2018年10月，市场共识政策底的出现，2018年11月北上流入资金明显改善，周净流入创新高至346.34亿元。整体来看，2</w:t>
      </w:r>
      <w:r w:rsidRPr="00C64AE1">
        <w:rPr>
          <w:rFonts w:ascii="楷体" w:eastAsia="楷体" w:hAnsi="楷体"/>
        </w:rPr>
        <w:t>018</w:t>
      </w:r>
      <w:r w:rsidRPr="00C64AE1">
        <w:rPr>
          <w:rFonts w:ascii="楷体" w:eastAsia="楷体" w:hAnsi="楷体" w:hint="eastAsia"/>
        </w:rPr>
        <w:t>年净买入额增量呈现震荡下降趋势，震荡幅度显著大于2</w:t>
      </w:r>
      <w:r w:rsidRPr="00C64AE1">
        <w:rPr>
          <w:rFonts w:ascii="楷体" w:eastAsia="楷体" w:hAnsi="楷体"/>
        </w:rPr>
        <w:t>017</w:t>
      </w:r>
      <w:r w:rsidRPr="00C64AE1">
        <w:rPr>
          <w:rFonts w:ascii="楷体" w:eastAsia="楷体" w:hAnsi="楷体" w:hint="eastAsia"/>
        </w:rPr>
        <w:t>年，预期2019年北上资金存量规模稳中有升</w:t>
      </w:r>
      <w:r w:rsidR="005F0FE4" w:rsidRPr="00C64AE1">
        <w:rPr>
          <w:rFonts w:ascii="楷体" w:eastAsia="楷体" w:hAnsi="楷体" w:hint="eastAsia"/>
        </w:rPr>
        <w:t>、增量资金边际弱化</w:t>
      </w:r>
      <w:r w:rsidRPr="00C64AE1">
        <w:rPr>
          <w:rFonts w:ascii="楷体" w:eastAsia="楷体" w:hAnsi="楷体" w:hint="eastAsia"/>
        </w:rPr>
        <w:t>。</w:t>
      </w:r>
    </w:p>
    <w:tbl>
      <w:tblPr>
        <w:tblW w:w="10157" w:type="dxa"/>
        <w:jc w:val="center"/>
        <w:tblLayout w:type="fixed"/>
        <w:tblCellMar>
          <w:left w:w="0" w:type="dxa"/>
          <w:right w:w="0" w:type="dxa"/>
        </w:tblCellMar>
        <w:tblLook w:val="01E0"/>
      </w:tblPr>
      <w:tblGrid>
        <w:gridCol w:w="5051"/>
        <w:gridCol w:w="56"/>
        <w:gridCol w:w="5050"/>
      </w:tblGrid>
      <w:tr w:rsidR="00032DB0" w:rsidRPr="00C64AE1" w:rsidTr="009966CE">
        <w:trPr>
          <w:trHeight w:hRule="exact" w:val="323"/>
          <w:jc w:val="center"/>
        </w:trPr>
        <w:tc>
          <w:tcPr>
            <w:tcW w:w="5051" w:type="dxa"/>
            <w:tcBorders>
              <w:bottom w:val="single" w:sz="12" w:space="0" w:color="CC0000"/>
            </w:tcBorders>
            <w:shd w:val="clear" w:color="auto" w:fill="auto"/>
            <w:noWrap/>
            <w:vAlign w:val="bottom"/>
          </w:tcPr>
          <w:p w:rsidR="00032DB0" w:rsidRPr="00C64AE1" w:rsidRDefault="00032DB0" w:rsidP="00EA0A32">
            <w:pPr>
              <w:keepNext/>
              <w:keepLines/>
              <w:rPr>
                <w:rFonts w:ascii="楷体" w:eastAsia="楷体" w:hAnsi="楷体" w:cs="Times New Roman"/>
                <w:sz w:val="20"/>
                <w:szCs w:val="20"/>
              </w:rPr>
            </w:pPr>
            <w:r w:rsidRPr="00C64AE1">
              <w:rPr>
                <w:rFonts w:ascii="楷体" w:eastAsia="楷体" w:hAnsi="楷体" w:cs="Times New Roman"/>
                <w:sz w:val="20"/>
                <w:szCs w:val="20"/>
              </w:rPr>
              <w:lastRenderedPageBreak/>
              <w:t>图</w:t>
            </w:r>
            <w:r w:rsidR="00187AD1" w:rsidRPr="00C64AE1">
              <w:rPr>
                <w:rFonts w:ascii="楷体" w:eastAsia="楷体" w:hAnsi="楷体" w:cs="Times New Roman" w:hint="eastAsia"/>
                <w:sz w:val="20"/>
                <w:szCs w:val="20"/>
              </w:rPr>
              <w:t>1</w:t>
            </w:r>
            <w:r w:rsidR="009966CE" w:rsidRPr="00C64AE1">
              <w:rPr>
                <w:rFonts w:ascii="楷体" w:eastAsia="楷体" w:hAnsi="楷体" w:cs="Times New Roman" w:hint="eastAsia"/>
                <w:sz w:val="20"/>
                <w:szCs w:val="20"/>
              </w:rPr>
              <w:t>1</w:t>
            </w:r>
            <w:r w:rsidRPr="00C64AE1">
              <w:rPr>
                <w:rFonts w:ascii="楷体" w:eastAsia="楷体" w:hAnsi="楷体" w:cs="Times New Roman"/>
                <w:sz w:val="20"/>
                <w:szCs w:val="20"/>
              </w:rPr>
              <w:t xml:space="preserve">  </w:t>
            </w:r>
            <w:r w:rsidRPr="00C64AE1">
              <w:rPr>
                <w:rFonts w:ascii="楷体" w:eastAsia="楷体" w:hAnsi="楷体" w:cs="Times New Roman" w:hint="eastAsia"/>
                <w:sz w:val="20"/>
                <w:szCs w:val="20"/>
              </w:rPr>
              <w:t>(沪</w:t>
            </w:r>
            <w:r w:rsidR="00187AD1" w:rsidRPr="00C64AE1">
              <w:rPr>
                <w:rFonts w:ascii="楷体" w:eastAsia="楷体" w:hAnsi="楷体" w:cs="Times New Roman" w:hint="eastAsia"/>
                <w:sz w:val="20"/>
                <w:szCs w:val="20"/>
              </w:rPr>
              <w:t>股通资金流量与存量</w:t>
            </w:r>
            <w:r w:rsidRPr="00C64AE1">
              <w:rPr>
                <w:rFonts w:ascii="楷体" w:eastAsia="楷体" w:hAnsi="楷体" w:cs="Times New Roman" w:hint="eastAsia"/>
                <w:sz w:val="20"/>
                <w:szCs w:val="20"/>
              </w:rPr>
              <w:t>趋势图)</w:t>
            </w:r>
          </w:p>
        </w:tc>
        <w:tc>
          <w:tcPr>
            <w:tcW w:w="56" w:type="dxa"/>
            <w:shd w:val="clear" w:color="auto" w:fill="auto"/>
            <w:vAlign w:val="bottom"/>
          </w:tcPr>
          <w:p w:rsidR="00032DB0" w:rsidRPr="00C64AE1" w:rsidRDefault="00032DB0" w:rsidP="00EA0A32">
            <w:pPr>
              <w:keepNext/>
              <w:keepLines/>
              <w:rPr>
                <w:rFonts w:ascii="楷体" w:eastAsia="楷体" w:hAnsi="楷体" w:cs="Times New Roman"/>
                <w:sz w:val="20"/>
                <w:szCs w:val="20"/>
              </w:rPr>
            </w:pPr>
          </w:p>
        </w:tc>
        <w:tc>
          <w:tcPr>
            <w:tcW w:w="5050" w:type="dxa"/>
            <w:tcBorders>
              <w:bottom w:val="single" w:sz="12" w:space="0" w:color="CC0000"/>
            </w:tcBorders>
            <w:shd w:val="clear" w:color="auto" w:fill="auto"/>
            <w:noWrap/>
            <w:vAlign w:val="bottom"/>
          </w:tcPr>
          <w:p w:rsidR="00032DB0" w:rsidRPr="00C64AE1" w:rsidRDefault="00032DB0" w:rsidP="00EA0A32">
            <w:pPr>
              <w:keepNext/>
              <w:keepLines/>
              <w:rPr>
                <w:rFonts w:ascii="楷体" w:eastAsia="楷体" w:hAnsi="楷体" w:cs="Times New Roman"/>
                <w:sz w:val="20"/>
                <w:szCs w:val="20"/>
              </w:rPr>
            </w:pPr>
            <w:r w:rsidRPr="00C64AE1">
              <w:rPr>
                <w:rFonts w:ascii="楷体" w:eastAsia="楷体" w:hAnsi="楷体" w:cs="Times New Roman"/>
                <w:sz w:val="20"/>
                <w:szCs w:val="20"/>
              </w:rPr>
              <w:t>图</w:t>
            </w:r>
            <w:r w:rsidR="00187AD1" w:rsidRPr="00C64AE1">
              <w:rPr>
                <w:rFonts w:ascii="楷体" w:eastAsia="楷体" w:hAnsi="楷体" w:cs="Times New Roman" w:hint="eastAsia"/>
                <w:sz w:val="20"/>
                <w:szCs w:val="20"/>
              </w:rPr>
              <w:t>1</w:t>
            </w:r>
            <w:r w:rsidR="009966CE" w:rsidRPr="00C64AE1">
              <w:rPr>
                <w:rFonts w:ascii="楷体" w:eastAsia="楷体" w:hAnsi="楷体" w:cs="Times New Roman" w:hint="eastAsia"/>
                <w:sz w:val="20"/>
                <w:szCs w:val="20"/>
              </w:rPr>
              <w:t>2</w:t>
            </w:r>
            <w:r w:rsidRPr="00C64AE1">
              <w:rPr>
                <w:rFonts w:ascii="楷体" w:eastAsia="楷体" w:hAnsi="楷体" w:cs="Times New Roman"/>
                <w:sz w:val="20"/>
                <w:szCs w:val="20"/>
              </w:rPr>
              <w:t xml:space="preserve">  </w:t>
            </w:r>
            <w:r w:rsidRPr="00C64AE1">
              <w:rPr>
                <w:rFonts w:ascii="楷体" w:eastAsia="楷体" w:hAnsi="楷体" w:cs="Times New Roman" w:hint="eastAsia"/>
                <w:sz w:val="20"/>
                <w:szCs w:val="20"/>
              </w:rPr>
              <w:t>(</w:t>
            </w:r>
            <w:r w:rsidR="00187AD1" w:rsidRPr="00C64AE1">
              <w:rPr>
                <w:rFonts w:ascii="楷体" w:eastAsia="楷体" w:hAnsi="楷体" w:cs="Times New Roman" w:hint="eastAsia"/>
                <w:sz w:val="20"/>
                <w:szCs w:val="20"/>
              </w:rPr>
              <w:t>深股通资金流量与存量趋势图</w:t>
            </w:r>
            <w:r w:rsidRPr="00C64AE1">
              <w:rPr>
                <w:rFonts w:ascii="楷体" w:eastAsia="楷体" w:hAnsi="楷体" w:cs="Times New Roman" w:hint="eastAsia"/>
                <w:sz w:val="20"/>
                <w:szCs w:val="20"/>
              </w:rPr>
              <w:t>)</w:t>
            </w:r>
          </w:p>
        </w:tc>
      </w:tr>
      <w:tr w:rsidR="00032DB0" w:rsidRPr="00C64AE1" w:rsidTr="009966CE">
        <w:trPr>
          <w:trHeight w:hRule="exact" w:val="3160"/>
          <w:jc w:val="center"/>
        </w:trPr>
        <w:tc>
          <w:tcPr>
            <w:tcW w:w="5051" w:type="dxa"/>
            <w:tcBorders>
              <w:top w:val="single" w:sz="12" w:space="0" w:color="CC0000"/>
              <w:bottom w:val="single" w:sz="12" w:space="0" w:color="CC0000"/>
            </w:tcBorders>
            <w:shd w:val="clear" w:color="auto" w:fill="auto"/>
            <w:noWrap/>
          </w:tcPr>
          <w:p w:rsidR="00032DB0" w:rsidRPr="00C64AE1" w:rsidRDefault="0095205C" w:rsidP="00EA0A32">
            <w:pPr>
              <w:keepNext/>
              <w:keepLines/>
              <w:jc w:val="center"/>
              <w:rPr>
                <w:rFonts w:ascii="楷体" w:eastAsia="楷体" w:hAnsi="楷体" w:cs="Times New Roman"/>
                <w:szCs w:val="24"/>
              </w:rPr>
            </w:pPr>
            <w:r w:rsidRPr="0095205C">
              <w:rPr>
                <w:rFonts w:ascii="楷体" w:eastAsia="楷体" w:hAnsi="楷体" w:cs="Times New Roman"/>
                <w:noProof/>
                <w:szCs w:val="24"/>
              </w:rPr>
              <w:drawing>
                <wp:inline distT="0" distB="0" distL="0" distR="0">
                  <wp:extent cx="3168650" cy="1880558"/>
                  <wp:effectExtent l="19050" t="0" r="12700" b="5392"/>
                  <wp:docPr id="5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6" w:type="dxa"/>
            <w:shd w:val="clear" w:color="auto" w:fill="FFFFFF"/>
          </w:tcPr>
          <w:p w:rsidR="00032DB0" w:rsidRPr="00C64AE1" w:rsidRDefault="00032DB0" w:rsidP="00EA0A32">
            <w:pPr>
              <w:keepNext/>
              <w:keepLines/>
              <w:ind w:firstLine="420"/>
              <w:jc w:val="center"/>
              <w:rPr>
                <w:rFonts w:ascii="楷体" w:eastAsia="楷体" w:hAnsi="楷体" w:cs="Times New Roman"/>
                <w:szCs w:val="24"/>
              </w:rPr>
            </w:pPr>
          </w:p>
        </w:tc>
        <w:tc>
          <w:tcPr>
            <w:tcW w:w="5050" w:type="dxa"/>
            <w:tcBorders>
              <w:top w:val="single" w:sz="12" w:space="0" w:color="CC0000"/>
              <w:bottom w:val="single" w:sz="12" w:space="0" w:color="CC0000"/>
            </w:tcBorders>
            <w:shd w:val="clear" w:color="auto" w:fill="auto"/>
            <w:noWrap/>
          </w:tcPr>
          <w:p w:rsidR="00032DB0" w:rsidRPr="00C64AE1" w:rsidRDefault="0095205C" w:rsidP="00EA0A32">
            <w:pPr>
              <w:keepNext/>
              <w:keepLines/>
              <w:jc w:val="center"/>
              <w:rPr>
                <w:rFonts w:ascii="楷体" w:eastAsia="楷体" w:hAnsi="楷体" w:cs="Times New Roman"/>
                <w:szCs w:val="24"/>
              </w:rPr>
            </w:pPr>
            <w:r w:rsidRPr="0095205C">
              <w:rPr>
                <w:rFonts w:ascii="楷体" w:eastAsia="楷体" w:hAnsi="楷体" w:cs="Times New Roman"/>
                <w:noProof/>
                <w:szCs w:val="24"/>
              </w:rPr>
              <w:drawing>
                <wp:inline distT="0" distB="0" distL="0" distR="0">
                  <wp:extent cx="3163570" cy="1918611"/>
                  <wp:effectExtent l="19050" t="0" r="17780" b="5439"/>
                  <wp:docPr id="5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032DB0" w:rsidRPr="00C64AE1" w:rsidTr="009966CE">
        <w:trPr>
          <w:trHeight w:val="256"/>
          <w:jc w:val="center"/>
        </w:trPr>
        <w:tc>
          <w:tcPr>
            <w:tcW w:w="5051" w:type="dxa"/>
            <w:tcBorders>
              <w:top w:val="single" w:sz="12" w:space="0" w:color="CC0000"/>
            </w:tcBorders>
            <w:shd w:val="clear" w:color="auto" w:fill="auto"/>
            <w:noWrap/>
          </w:tcPr>
          <w:p w:rsidR="00032DB0" w:rsidRPr="00C64AE1" w:rsidRDefault="00032DB0" w:rsidP="00EA0A32">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c>
          <w:tcPr>
            <w:tcW w:w="56" w:type="dxa"/>
            <w:shd w:val="clear" w:color="auto" w:fill="auto"/>
          </w:tcPr>
          <w:p w:rsidR="00032DB0" w:rsidRPr="00C64AE1" w:rsidRDefault="00032DB0" w:rsidP="00EA0A32">
            <w:pPr>
              <w:keepNext/>
              <w:keepLines/>
              <w:rPr>
                <w:rFonts w:ascii="楷体" w:eastAsia="楷体" w:hAnsi="楷体" w:cs="Times New Roman"/>
                <w:sz w:val="20"/>
                <w:szCs w:val="20"/>
              </w:rPr>
            </w:pPr>
          </w:p>
        </w:tc>
        <w:tc>
          <w:tcPr>
            <w:tcW w:w="5050" w:type="dxa"/>
            <w:tcBorders>
              <w:top w:val="single" w:sz="12" w:space="0" w:color="CC0000"/>
            </w:tcBorders>
            <w:shd w:val="clear" w:color="auto" w:fill="auto"/>
            <w:noWrap/>
          </w:tcPr>
          <w:p w:rsidR="00032DB0" w:rsidRPr="00C64AE1" w:rsidRDefault="00032DB0" w:rsidP="00EA0A32">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r>
    </w:tbl>
    <w:p w:rsidR="00286899" w:rsidRPr="00C64AE1" w:rsidRDefault="00286899" w:rsidP="00446770">
      <w:pPr>
        <w:spacing w:beforeLines="50" w:afterLines="50" w:line="312" w:lineRule="auto"/>
        <w:ind w:leftChars="1200" w:left="2520" w:right="102" w:firstLineChars="200" w:firstLine="420"/>
        <w:rPr>
          <w:rFonts w:ascii="楷体" w:eastAsia="楷体" w:hAnsi="楷体"/>
        </w:rPr>
      </w:pPr>
      <w:r w:rsidRPr="00C64AE1">
        <w:rPr>
          <w:rFonts w:ascii="楷体" w:eastAsia="楷体" w:hAnsi="楷体" w:hint="eastAsia"/>
        </w:rPr>
        <w:t>配置方面，北上资金配置上偏爱沪市大盘蓝筹，个股配置占流通股的均值比例约为1.044%，深市中小盘股资金净流入同比下降明显，个股配置占流通股的均值比例约为0.80%。从结构上看，北上资金流入沪股通的额度远强于深股通，沪市北上资金存量规模约为3631.63亿元，是深市2624.28亿元的</w:t>
      </w:r>
      <w:r w:rsidRPr="00C64AE1">
        <w:rPr>
          <w:rFonts w:ascii="楷体" w:eastAsia="楷体" w:hAnsi="楷体"/>
        </w:rPr>
        <w:t>1.3</w:t>
      </w:r>
      <w:r w:rsidRPr="00C64AE1">
        <w:rPr>
          <w:rFonts w:ascii="楷体" w:eastAsia="楷体" w:hAnsi="楷体" w:hint="eastAsia"/>
        </w:rPr>
        <w:t>8倍。据Wind统计，截止11月30日，沪股通净流入1675.80亿元，同比2017年增加179.91%；深股通累计净流入1104.96亿元，同比下降15.85%，深股通北上资金环比增幅出现明显下跌。</w:t>
      </w:r>
    </w:p>
    <w:p w:rsidR="002854F3" w:rsidRPr="00C64AE1" w:rsidRDefault="00286899" w:rsidP="00446770">
      <w:pPr>
        <w:spacing w:beforeLines="50" w:afterLines="50" w:line="312" w:lineRule="auto"/>
        <w:ind w:leftChars="1200" w:left="2520" w:right="102" w:firstLineChars="200" w:firstLine="420"/>
        <w:rPr>
          <w:rFonts w:ascii="楷体" w:eastAsia="楷体" w:hAnsi="楷体"/>
        </w:rPr>
      </w:pPr>
      <w:r w:rsidRPr="00C64AE1">
        <w:rPr>
          <w:rFonts w:ascii="楷体" w:eastAsia="楷体" w:hAnsi="楷体" w:hint="eastAsia"/>
        </w:rPr>
        <w:t>沪股通、深股通北上资金配置个股占流通股的比例整体偏低，中位数分别约为0.3887%与0.2785%（如图13、14），最高配置最比分别为28.1457%与15.3451%。</w:t>
      </w:r>
      <w:r w:rsidR="00C60E97" w:rsidRPr="00C64AE1">
        <w:rPr>
          <w:rFonts w:ascii="楷体" w:eastAsia="楷体" w:hAnsi="楷体" w:hint="eastAsia"/>
        </w:rPr>
        <w:t>总体而言，沪市、深市北上资金个股配置占流通股的比例大部分在2%以下，除了极少数个股占流通股的比例较高外（比如超10%），北上机构资金流向与操作上的偏爱，不足对个股或市场形成实质性影响。</w:t>
      </w:r>
    </w:p>
    <w:tbl>
      <w:tblPr>
        <w:tblW w:w="10157" w:type="dxa"/>
        <w:jc w:val="center"/>
        <w:tblLayout w:type="fixed"/>
        <w:tblCellMar>
          <w:left w:w="0" w:type="dxa"/>
          <w:right w:w="0" w:type="dxa"/>
        </w:tblCellMar>
        <w:tblLook w:val="01E0"/>
      </w:tblPr>
      <w:tblGrid>
        <w:gridCol w:w="5051"/>
        <w:gridCol w:w="56"/>
        <w:gridCol w:w="5050"/>
      </w:tblGrid>
      <w:tr w:rsidR="002854F3" w:rsidRPr="00C64AE1" w:rsidTr="00697663">
        <w:trPr>
          <w:trHeight w:hRule="exact" w:val="323"/>
          <w:jc w:val="center"/>
        </w:trPr>
        <w:tc>
          <w:tcPr>
            <w:tcW w:w="5051" w:type="dxa"/>
            <w:tcBorders>
              <w:bottom w:val="single" w:sz="12" w:space="0" w:color="CC0000"/>
            </w:tcBorders>
            <w:shd w:val="clear" w:color="auto" w:fill="auto"/>
            <w:noWrap/>
            <w:vAlign w:val="bottom"/>
          </w:tcPr>
          <w:p w:rsidR="002854F3" w:rsidRPr="00C64AE1" w:rsidRDefault="002854F3" w:rsidP="00505E14">
            <w:pPr>
              <w:keepLines/>
              <w:rPr>
                <w:rFonts w:ascii="楷体" w:eastAsia="楷体" w:hAnsi="楷体" w:cs="Times New Roman"/>
                <w:sz w:val="20"/>
                <w:szCs w:val="20"/>
              </w:rPr>
            </w:pPr>
            <w:r w:rsidRPr="00C64AE1">
              <w:rPr>
                <w:rFonts w:ascii="楷体" w:eastAsia="楷体" w:hAnsi="楷体" w:cs="Times New Roman"/>
                <w:sz w:val="20"/>
                <w:szCs w:val="20"/>
              </w:rPr>
              <w:t>图</w:t>
            </w:r>
            <w:r w:rsidRPr="00C64AE1">
              <w:rPr>
                <w:rFonts w:ascii="楷体" w:eastAsia="楷体" w:hAnsi="楷体" w:cs="Times New Roman" w:hint="eastAsia"/>
                <w:sz w:val="20"/>
                <w:szCs w:val="20"/>
              </w:rPr>
              <w:t>1</w:t>
            </w:r>
            <w:r w:rsidR="006D7A39" w:rsidRPr="00C64AE1">
              <w:rPr>
                <w:rFonts w:ascii="楷体" w:eastAsia="楷体" w:hAnsi="楷体" w:cs="Times New Roman" w:hint="eastAsia"/>
                <w:sz w:val="20"/>
                <w:szCs w:val="20"/>
              </w:rPr>
              <w:t>3</w:t>
            </w:r>
            <w:r w:rsidRPr="00C64AE1">
              <w:rPr>
                <w:rFonts w:ascii="楷体" w:eastAsia="楷体" w:hAnsi="楷体" w:cs="Times New Roman"/>
                <w:sz w:val="20"/>
                <w:szCs w:val="20"/>
              </w:rPr>
              <w:t xml:space="preserve">  </w:t>
            </w:r>
            <w:r w:rsidRPr="00C64AE1">
              <w:rPr>
                <w:rFonts w:ascii="楷体" w:eastAsia="楷体" w:hAnsi="楷体" w:cs="Times New Roman" w:hint="eastAsia"/>
                <w:sz w:val="20"/>
                <w:szCs w:val="20"/>
              </w:rPr>
              <w:t>(沪股通</w:t>
            </w:r>
            <w:r w:rsidR="00505E14" w:rsidRPr="00C64AE1">
              <w:rPr>
                <w:rFonts w:ascii="楷体" w:eastAsia="楷体" w:hAnsi="楷体" w:cs="Times New Roman" w:hint="eastAsia"/>
                <w:sz w:val="20"/>
                <w:szCs w:val="20"/>
              </w:rPr>
              <w:t>北上</w:t>
            </w:r>
            <w:r w:rsidRPr="00C64AE1">
              <w:rPr>
                <w:rFonts w:ascii="楷体" w:eastAsia="楷体" w:hAnsi="楷体" w:cs="Times New Roman" w:hint="eastAsia"/>
                <w:sz w:val="20"/>
                <w:szCs w:val="20"/>
              </w:rPr>
              <w:t>资金</w:t>
            </w:r>
            <w:r w:rsidR="00505E14" w:rsidRPr="00C64AE1">
              <w:rPr>
                <w:rFonts w:ascii="楷体" w:eastAsia="楷体" w:hAnsi="楷体" w:cs="Times New Roman" w:hint="eastAsia"/>
                <w:sz w:val="20"/>
                <w:szCs w:val="20"/>
              </w:rPr>
              <w:t>个股配置占比</w:t>
            </w:r>
            <w:r w:rsidRPr="00C64AE1">
              <w:rPr>
                <w:rFonts w:ascii="楷体" w:eastAsia="楷体" w:hAnsi="楷体" w:cs="Times New Roman" w:hint="eastAsia"/>
                <w:sz w:val="20"/>
                <w:szCs w:val="20"/>
              </w:rPr>
              <w:t>图)</w:t>
            </w:r>
          </w:p>
        </w:tc>
        <w:tc>
          <w:tcPr>
            <w:tcW w:w="56" w:type="dxa"/>
            <w:shd w:val="clear" w:color="auto" w:fill="auto"/>
            <w:vAlign w:val="bottom"/>
          </w:tcPr>
          <w:p w:rsidR="002854F3" w:rsidRPr="00C64AE1" w:rsidRDefault="002854F3" w:rsidP="00697663">
            <w:pPr>
              <w:keepLines/>
              <w:rPr>
                <w:rFonts w:ascii="楷体" w:eastAsia="楷体" w:hAnsi="楷体" w:cs="Times New Roman"/>
                <w:sz w:val="20"/>
                <w:szCs w:val="20"/>
              </w:rPr>
            </w:pPr>
          </w:p>
        </w:tc>
        <w:tc>
          <w:tcPr>
            <w:tcW w:w="5050" w:type="dxa"/>
            <w:tcBorders>
              <w:bottom w:val="single" w:sz="12" w:space="0" w:color="CC0000"/>
            </w:tcBorders>
            <w:shd w:val="clear" w:color="auto" w:fill="auto"/>
            <w:noWrap/>
            <w:vAlign w:val="bottom"/>
          </w:tcPr>
          <w:p w:rsidR="002854F3" w:rsidRPr="00C64AE1" w:rsidRDefault="002854F3" w:rsidP="00505E14">
            <w:pPr>
              <w:keepLines/>
              <w:rPr>
                <w:rFonts w:ascii="楷体" w:eastAsia="楷体" w:hAnsi="楷体" w:cs="Times New Roman"/>
                <w:sz w:val="20"/>
                <w:szCs w:val="20"/>
              </w:rPr>
            </w:pPr>
            <w:r w:rsidRPr="00C64AE1">
              <w:rPr>
                <w:rFonts w:ascii="楷体" w:eastAsia="楷体" w:hAnsi="楷体" w:cs="Times New Roman"/>
                <w:sz w:val="20"/>
                <w:szCs w:val="20"/>
              </w:rPr>
              <w:t>图</w:t>
            </w:r>
            <w:r w:rsidRPr="00C64AE1">
              <w:rPr>
                <w:rFonts w:ascii="楷体" w:eastAsia="楷体" w:hAnsi="楷体" w:cs="Times New Roman" w:hint="eastAsia"/>
                <w:sz w:val="20"/>
                <w:szCs w:val="20"/>
              </w:rPr>
              <w:t>1</w:t>
            </w:r>
            <w:r w:rsidR="006D7A39" w:rsidRPr="00C64AE1">
              <w:rPr>
                <w:rFonts w:ascii="楷体" w:eastAsia="楷体" w:hAnsi="楷体" w:cs="Times New Roman" w:hint="eastAsia"/>
                <w:sz w:val="20"/>
                <w:szCs w:val="20"/>
              </w:rPr>
              <w:t>4</w:t>
            </w:r>
            <w:r w:rsidRPr="00C64AE1">
              <w:rPr>
                <w:rFonts w:ascii="楷体" w:eastAsia="楷体" w:hAnsi="楷体" w:cs="Times New Roman"/>
                <w:sz w:val="20"/>
                <w:szCs w:val="20"/>
              </w:rPr>
              <w:t xml:space="preserve">  </w:t>
            </w:r>
            <w:r w:rsidRPr="00C64AE1">
              <w:rPr>
                <w:rFonts w:ascii="楷体" w:eastAsia="楷体" w:hAnsi="楷体" w:cs="Times New Roman" w:hint="eastAsia"/>
                <w:sz w:val="20"/>
                <w:szCs w:val="20"/>
              </w:rPr>
              <w:t>(深股通</w:t>
            </w:r>
            <w:r w:rsidR="00505E14" w:rsidRPr="00C64AE1">
              <w:rPr>
                <w:rFonts w:ascii="楷体" w:eastAsia="楷体" w:hAnsi="楷体" w:cs="Times New Roman" w:hint="eastAsia"/>
                <w:sz w:val="20"/>
                <w:szCs w:val="20"/>
              </w:rPr>
              <w:t>北上资金个股配置占比</w:t>
            </w:r>
            <w:r w:rsidRPr="00C64AE1">
              <w:rPr>
                <w:rFonts w:ascii="楷体" w:eastAsia="楷体" w:hAnsi="楷体" w:cs="Times New Roman" w:hint="eastAsia"/>
                <w:sz w:val="20"/>
                <w:szCs w:val="20"/>
              </w:rPr>
              <w:t>图)</w:t>
            </w:r>
          </w:p>
        </w:tc>
      </w:tr>
      <w:tr w:rsidR="002854F3" w:rsidRPr="00C64AE1" w:rsidTr="00697663">
        <w:trPr>
          <w:trHeight w:hRule="exact" w:val="3160"/>
          <w:jc w:val="center"/>
        </w:trPr>
        <w:tc>
          <w:tcPr>
            <w:tcW w:w="5051" w:type="dxa"/>
            <w:tcBorders>
              <w:top w:val="single" w:sz="12" w:space="0" w:color="CC0000"/>
              <w:bottom w:val="single" w:sz="12" w:space="0" w:color="CC0000"/>
            </w:tcBorders>
            <w:shd w:val="clear" w:color="auto" w:fill="auto"/>
            <w:noWrap/>
          </w:tcPr>
          <w:p w:rsidR="002854F3" w:rsidRPr="00C64AE1" w:rsidRDefault="00286899" w:rsidP="00697663">
            <w:pPr>
              <w:keepLines/>
              <w:jc w:val="center"/>
              <w:rPr>
                <w:rFonts w:ascii="楷体" w:eastAsia="楷体" w:hAnsi="楷体" w:cs="Times New Roman"/>
                <w:szCs w:val="24"/>
              </w:rPr>
            </w:pPr>
            <w:r w:rsidRPr="00C64AE1">
              <w:rPr>
                <w:rFonts w:ascii="楷体" w:eastAsia="楷体" w:hAnsi="楷体" w:cs="Times New Roman"/>
                <w:noProof/>
                <w:szCs w:val="24"/>
              </w:rPr>
              <w:drawing>
                <wp:inline distT="0" distB="0" distL="0" distR="0">
                  <wp:extent cx="3162300" cy="1924050"/>
                  <wp:effectExtent l="19050" t="0" r="19050" b="0"/>
                  <wp:docPr id="3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56" w:type="dxa"/>
            <w:shd w:val="clear" w:color="auto" w:fill="FFFFFF"/>
          </w:tcPr>
          <w:p w:rsidR="002854F3" w:rsidRPr="00C64AE1" w:rsidRDefault="002854F3" w:rsidP="00697663">
            <w:pPr>
              <w:keepLines/>
              <w:ind w:firstLine="420"/>
              <w:jc w:val="center"/>
              <w:rPr>
                <w:rFonts w:ascii="楷体" w:eastAsia="楷体" w:hAnsi="楷体" w:cs="Times New Roman"/>
                <w:szCs w:val="24"/>
              </w:rPr>
            </w:pPr>
          </w:p>
        </w:tc>
        <w:tc>
          <w:tcPr>
            <w:tcW w:w="5050" w:type="dxa"/>
            <w:tcBorders>
              <w:top w:val="single" w:sz="12" w:space="0" w:color="CC0000"/>
              <w:bottom w:val="single" w:sz="12" w:space="0" w:color="CC0000"/>
            </w:tcBorders>
            <w:shd w:val="clear" w:color="auto" w:fill="auto"/>
            <w:noWrap/>
          </w:tcPr>
          <w:p w:rsidR="002854F3" w:rsidRPr="00C64AE1" w:rsidRDefault="00286899" w:rsidP="006D7A39">
            <w:pPr>
              <w:keepLines/>
              <w:jc w:val="left"/>
              <w:rPr>
                <w:rFonts w:ascii="楷体" w:eastAsia="楷体" w:hAnsi="楷体" w:cs="Times New Roman"/>
                <w:szCs w:val="24"/>
              </w:rPr>
            </w:pPr>
            <w:r w:rsidRPr="00C64AE1">
              <w:rPr>
                <w:rFonts w:ascii="楷体" w:eastAsia="楷体" w:hAnsi="楷体" w:cs="Times New Roman"/>
                <w:noProof/>
                <w:szCs w:val="24"/>
              </w:rPr>
              <w:drawing>
                <wp:inline distT="0" distB="0" distL="0" distR="0">
                  <wp:extent cx="3152775" cy="1905000"/>
                  <wp:effectExtent l="19050" t="0" r="9525" b="0"/>
                  <wp:docPr id="3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2854F3" w:rsidRPr="00C64AE1" w:rsidTr="00697663">
        <w:trPr>
          <w:trHeight w:val="256"/>
          <w:jc w:val="center"/>
        </w:trPr>
        <w:tc>
          <w:tcPr>
            <w:tcW w:w="5051" w:type="dxa"/>
            <w:tcBorders>
              <w:top w:val="single" w:sz="12" w:space="0" w:color="CC0000"/>
            </w:tcBorders>
            <w:shd w:val="clear" w:color="auto" w:fill="auto"/>
            <w:noWrap/>
          </w:tcPr>
          <w:p w:rsidR="002854F3" w:rsidRPr="00C64AE1" w:rsidRDefault="002854F3" w:rsidP="00697663">
            <w:pPr>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c>
          <w:tcPr>
            <w:tcW w:w="56" w:type="dxa"/>
            <w:shd w:val="clear" w:color="auto" w:fill="auto"/>
          </w:tcPr>
          <w:p w:rsidR="002854F3" w:rsidRPr="00C64AE1" w:rsidRDefault="002854F3" w:rsidP="00697663">
            <w:pPr>
              <w:keepLines/>
              <w:rPr>
                <w:rFonts w:ascii="楷体" w:eastAsia="楷体" w:hAnsi="楷体" w:cs="Times New Roman"/>
                <w:sz w:val="20"/>
                <w:szCs w:val="20"/>
              </w:rPr>
            </w:pPr>
          </w:p>
        </w:tc>
        <w:tc>
          <w:tcPr>
            <w:tcW w:w="5050" w:type="dxa"/>
            <w:tcBorders>
              <w:top w:val="single" w:sz="12" w:space="0" w:color="CC0000"/>
            </w:tcBorders>
            <w:shd w:val="clear" w:color="auto" w:fill="auto"/>
            <w:noWrap/>
          </w:tcPr>
          <w:p w:rsidR="002854F3" w:rsidRPr="00C64AE1" w:rsidRDefault="002854F3" w:rsidP="00697663">
            <w:pPr>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r>
    </w:tbl>
    <w:p w:rsidR="00170B2E" w:rsidRPr="00C64AE1" w:rsidRDefault="00170B2E" w:rsidP="00446770">
      <w:pPr>
        <w:spacing w:beforeLines="50" w:afterLines="50" w:line="312" w:lineRule="auto"/>
        <w:ind w:leftChars="1200" w:left="2520" w:right="102" w:firstLineChars="200" w:firstLine="420"/>
        <w:rPr>
          <w:rFonts w:ascii="楷体" w:eastAsia="楷体" w:hAnsi="楷体"/>
        </w:rPr>
      </w:pPr>
      <w:r w:rsidRPr="00C64AE1">
        <w:rPr>
          <w:rFonts w:ascii="楷体" w:eastAsia="楷体" w:hAnsi="楷体" w:hint="eastAsia"/>
        </w:rPr>
        <w:t>结构配置上，沪股通交易标的主要为上证1</w:t>
      </w:r>
      <w:r w:rsidRPr="00C64AE1">
        <w:rPr>
          <w:rFonts w:ascii="楷体" w:eastAsia="楷体" w:hAnsi="楷体"/>
        </w:rPr>
        <w:t>80</w:t>
      </w:r>
      <w:r w:rsidRPr="00C64AE1">
        <w:rPr>
          <w:rFonts w:ascii="楷体" w:eastAsia="楷体" w:hAnsi="楷体" w:hint="eastAsia"/>
        </w:rPr>
        <w:t>、上证3</w:t>
      </w:r>
      <w:r w:rsidRPr="00C64AE1">
        <w:rPr>
          <w:rFonts w:ascii="楷体" w:eastAsia="楷体" w:hAnsi="楷体"/>
        </w:rPr>
        <w:t>80</w:t>
      </w:r>
      <w:r w:rsidRPr="00C64AE1">
        <w:rPr>
          <w:rFonts w:ascii="楷体" w:eastAsia="楷体" w:hAnsi="楷体" w:hint="eastAsia"/>
        </w:rPr>
        <w:t>指数成份股以及A</w:t>
      </w:r>
      <w:r w:rsidRPr="00C64AE1">
        <w:rPr>
          <w:rFonts w:ascii="楷体" w:eastAsia="楷体" w:hAnsi="楷体"/>
        </w:rPr>
        <w:t>+H</w:t>
      </w:r>
      <w:r w:rsidRPr="00C64AE1">
        <w:rPr>
          <w:rFonts w:ascii="楷体" w:eastAsia="楷体" w:hAnsi="楷体" w:hint="eastAsia"/>
        </w:rPr>
        <w:t>股上市的公司，而深股主要为市值60亿元人民币及以上的深证成份指数和深证中小创新指数的成份股，以及深圳证券交易所上市的A+H股公司股票。北上资金流入沪股通的金额为深股通的1</w:t>
      </w:r>
      <w:r w:rsidRPr="00C64AE1">
        <w:rPr>
          <w:rFonts w:ascii="楷体" w:eastAsia="楷体" w:hAnsi="楷体"/>
        </w:rPr>
        <w:t>.3</w:t>
      </w:r>
      <w:r w:rsidRPr="00C64AE1">
        <w:rPr>
          <w:rFonts w:ascii="楷体" w:eastAsia="楷体" w:hAnsi="楷体" w:hint="eastAsia"/>
        </w:rPr>
        <w:t>7倍，这说明2</w:t>
      </w:r>
      <w:r w:rsidRPr="00C64AE1">
        <w:rPr>
          <w:rFonts w:ascii="楷体" w:eastAsia="楷体" w:hAnsi="楷体"/>
        </w:rPr>
        <w:t>018</w:t>
      </w:r>
      <w:r w:rsidRPr="00C64AE1">
        <w:rPr>
          <w:rFonts w:ascii="楷体" w:eastAsia="楷体" w:hAnsi="楷体" w:hint="eastAsia"/>
        </w:rPr>
        <w:t>年以来，在机构投资及其以价值投资为主的理念驱动下，北上资金更倾向于沪市蓝筹</w:t>
      </w:r>
      <w:r w:rsidR="00671DAD" w:rsidRPr="00C64AE1">
        <w:rPr>
          <w:rFonts w:ascii="楷体" w:eastAsia="楷体" w:hAnsi="楷体" w:hint="eastAsia"/>
        </w:rPr>
        <w:t>。</w:t>
      </w:r>
      <w:r w:rsidR="001B3098" w:rsidRPr="00C64AE1">
        <w:rPr>
          <w:rFonts w:ascii="楷体" w:eastAsia="楷体" w:hAnsi="楷体" w:hint="eastAsia"/>
        </w:rPr>
        <w:t>但从</w:t>
      </w:r>
      <w:r w:rsidR="00654EAE" w:rsidRPr="00C64AE1">
        <w:rPr>
          <w:rFonts w:ascii="楷体" w:eastAsia="楷体" w:hAnsi="楷体" w:hint="eastAsia"/>
        </w:rPr>
        <w:t>资金占比及其</w:t>
      </w:r>
      <w:r w:rsidR="001B3098" w:rsidRPr="00C64AE1">
        <w:rPr>
          <w:rFonts w:ascii="楷体" w:eastAsia="楷体" w:hAnsi="楷体" w:hint="eastAsia"/>
        </w:rPr>
        <w:t>市场影响来看</w:t>
      </w:r>
      <w:r w:rsidR="002854F3" w:rsidRPr="00C64AE1">
        <w:rPr>
          <w:rFonts w:ascii="楷体" w:eastAsia="楷体" w:hAnsi="楷体" w:hint="eastAsia"/>
        </w:rPr>
        <w:t>（如图13、14）</w:t>
      </w:r>
      <w:r w:rsidR="001B3098" w:rsidRPr="00C64AE1">
        <w:rPr>
          <w:rFonts w:ascii="楷体" w:eastAsia="楷体" w:hAnsi="楷体" w:hint="eastAsia"/>
        </w:rPr>
        <w:t>，</w:t>
      </w:r>
      <w:r w:rsidR="00654EAE" w:rsidRPr="00C64AE1">
        <w:rPr>
          <w:rFonts w:ascii="楷体" w:eastAsia="楷体" w:hAnsi="楷体" w:hint="eastAsia"/>
        </w:rPr>
        <w:t>北上资金中，</w:t>
      </w:r>
      <w:r w:rsidR="00654EAE" w:rsidRPr="00C64AE1">
        <w:rPr>
          <w:rFonts w:ascii="楷体" w:eastAsia="楷体" w:hAnsi="楷体" w:hint="eastAsia"/>
        </w:rPr>
        <w:lastRenderedPageBreak/>
        <w:t>沪股通同比上升、深股通同比下降，</w:t>
      </w:r>
      <w:r w:rsidR="00371054" w:rsidRPr="00C64AE1">
        <w:rPr>
          <w:rFonts w:ascii="楷体" w:eastAsia="楷体" w:hAnsi="楷体" w:hint="eastAsia"/>
        </w:rPr>
        <w:t>综合考虑到北上资金</w:t>
      </w:r>
      <w:r w:rsidR="001B3098" w:rsidRPr="00C64AE1">
        <w:rPr>
          <w:rFonts w:ascii="楷体" w:eastAsia="楷体" w:hAnsi="楷体" w:hint="eastAsia"/>
        </w:rPr>
        <w:t>流入总体金额或个股</w:t>
      </w:r>
      <w:r w:rsidR="00505E14" w:rsidRPr="00C64AE1">
        <w:rPr>
          <w:rFonts w:ascii="楷体" w:eastAsia="楷体" w:hAnsi="楷体" w:hint="eastAsia"/>
        </w:rPr>
        <w:t>低</w:t>
      </w:r>
      <w:r w:rsidR="001B3098" w:rsidRPr="00C64AE1">
        <w:rPr>
          <w:rFonts w:ascii="楷体" w:eastAsia="楷体" w:hAnsi="楷体" w:hint="eastAsia"/>
        </w:rPr>
        <w:t>配置</w:t>
      </w:r>
      <w:r w:rsidR="00505E14" w:rsidRPr="00C64AE1">
        <w:rPr>
          <w:rFonts w:ascii="楷体" w:eastAsia="楷体" w:hAnsi="楷体" w:hint="eastAsia"/>
        </w:rPr>
        <w:t>占比</w:t>
      </w:r>
      <w:r w:rsidR="00371054" w:rsidRPr="00C64AE1">
        <w:rPr>
          <w:rFonts w:ascii="楷体" w:eastAsia="楷体" w:hAnsi="楷体" w:hint="eastAsia"/>
        </w:rPr>
        <w:t>等因素</w:t>
      </w:r>
      <w:r w:rsidR="001B3098" w:rsidRPr="00C64AE1">
        <w:rPr>
          <w:rFonts w:ascii="楷体" w:eastAsia="楷体" w:hAnsi="楷体" w:hint="eastAsia"/>
        </w:rPr>
        <w:t>，</w:t>
      </w:r>
      <w:r w:rsidR="00371054" w:rsidRPr="00C64AE1">
        <w:rPr>
          <w:rFonts w:ascii="楷体" w:eastAsia="楷体" w:hAnsi="楷体" w:hint="eastAsia"/>
        </w:rPr>
        <w:t>认为北上资金</w:t>
      </w:r>
      <w:r w:rsidR="001B3098" w:rsidRPr="00C64AE1">
        <w:rPr>
          <w:rFonts w:ascii="楷体" w:eastAsia="楷体" w:hAnsi="楷体" w:hint="eastAsia"/>
        </w:rPr>
        <w:t>都不足对个股或</w:t>
      </w:r>
      <w:r w:rsidR="00371054" w:rsidRPr="00C64AE1">
        <w:rPr>
          <w:rFonts w:ascii="楷体" w:eastAsia="楷体" w:hAnsi="楷体" w:hint="eastAsia"/>
        </w:rPr>
        <w:t>沪深两</w:t>
      </w:r>
      <w:r w:rsidR="001B3098" w:rsidRPr="00C64AE1">
        <w:rPr>
          <w:rFonts w:ascii="楷体" w:eastAsia="楷体" w:hAnsi="楷体" w:hint="eastAsia"/>
        </w:rPr>
        <w:t>市形成操纵影响</w:t>
      </w:r>
      <w:r w:rsidR="00505E14" w:rsidRPr="00C64AE1">
        <w:rPr>
          <w:rFonts w:ascii="楷体" w:eastAsia="楷体" w:hAnsi="楷体" w:hint="eastAsia"/>
        </w:rPr>
        <w:t>，</w:t>
      </w:r>
      <w:r w:rsidR="006008DE" w:rsidRPr="00C64AE1">
        <w:rPr>
          <w:rFonts w:ascii="楷体" w:eastAsia="楷体" w:hAnsi="楷体" w:hint="eastAsia"/>
        </w:rPr>
        <w:t>北上资金的动态变化</w:t>
      </w:r>
      <w:r w:rsidR="00505E14" w:rsidRPr="00C64AE1">
        <w:rPr>
          <w:rFonts w:ascii="楷体" w:eastAsia="楷体" w:hAnsi="楷体" w:hint="eastAsia"/>
        </w:rPr>
        <w:t>能为市场提供方向、趋势性指引</w:t>
      </w:r>
      <w:r w:rsidR="001B3098" w:rsidRPr="00C64AE1">
        <w:rPr>
          <w:rFonts w:ascii="楷体" w:eastAsia="楷体" w:hAnsi="楷体" w:hint="eastAsia"/>
        </w:rPr>
        <w:t>。</w:t>
      </w:r>
    </w:p>
    <w:p w:rsidR="009966CE" w:rsidRPr="00C64AE1" w:rsidRDefault="009966CE" w:rsidP="00446770">
      <w:pPr>
        <w:widowControl/>
        <w:numPr>
          <w:ilvl w:val="1"/>
          <w:numId w:val="0"/>
        </w:numPr>
        <w:spacing w:beforeLines="50" w:afterLines="50" w:line="360" w:lineRule="auto"/>
        <w:ind w:leftChars="1200" w:left="3026" w:hangingChars="180" w:hanging="506"/>
        <w:outlineLvl w:val="1"/>
        <w:rPr>
          <w:rFonts w:ascii="楷体" w:eastAsia="楷体" w:hAnsi="楷体" w:cs="Times New Roman"/>
          <w:b/>
          <w:sz w:val="28"/>
        </w:rPr>
      </w:pPr>
      <w:bookmarkStart w:id="18" w:name="_Toc531856903"/>
      <w:r w:rsidRPr="00C64AE1">
        <w:rPr>
          <w:rFonts w:ascii="楷体" w:eastAsia="楷体" w:hAnsi="楷体" w:cs="Times New Roman" w:hint="eastAsia"/>
          <w:b/>
          <w:sz w:val="28"/>
        </w:rPr>
        <w:t>1</w:t>
      </w:r>
      <w:r w:rsidRPr="00C64AE1">
        <w:rPr>
          <w:rFonts w:ascii="楷体" w:eastAsia="楷体" w:hAnsi="楷体" w:cs="Times New Roman"/>
          <w:b/>
          <w:sz w:val="28"/>
        </w:rPr>
        <w:t>.</w:t>
      </w:r>
      <w:r w:rsidRPr="00C64AE1">
        <w:rPr>
          <w:rFonts w:ascii="楷体" w:eastAsia="楷体" w:hAnsi="楷体" w:cs="Times New Roman" w:hint="eastAsia"/>
          <w:b/>
          <w:sz w:val="28"/>
        </w:rPr>
        <w:t>4</w:t>
      </w:r>
      <w:r w:rsidRPr="00C64AE1">
        <w:rPr>
          <w:rFonts w:ascii="楷体" w:eastAsia="楷体" w:hAnsi="楷体" w:cs="Times New Roman"/>
          <w:b/>
          <w:sz w:val="28"/>
        </w:rPr>
        <w:t xml:space="preserve"> </w:t>
      </w:r>
      <w:r w:rsidR="009D2D84" w:rsidRPr="00C64AE1">
        <w:rPr>
          <w:rFonts w:ascii="楷体" w:eastAsia="楷体" w:hAnsi="楷体" w:cs="Times New Roman" w:hint="eastAsia"/>
          <w:b/>
          <w:sz w:val="28"/>
        </w:rPr>
        <w:t>市场悲观情绪上行，</w:t>
      </w:r>
      <w:r w:rsidR="00163577" w:rsidRPr="00C64AE1">
        <w:rPr>
          <w:rFonts w:ascii="楷体" w:eastAsia="楷体" w:hAnsi="楷体" w:cs="Times New Roman" w:hint="eastAsia"/>
          <w:b/>
          <w:sz w:val="28"/>
        </w:rPr>
        <w:t>基金风格偏好小市值组合</w:t>
      </w:r>
      <w:bookmarkEnd w:id="18"/>
    </w:p>
    <w:p w:rsidR="009966CE" w:rsidRPr="00C64AE1" w:rsidRDefault="00163577" w:rsidP="00446770">
      <w:pPr>
        <w:spacing w:beforeLines="50" w:afterLines="50" w:line="312" w:lineRule="auto"/>
        <w:ind w:leftChars="1200" w:left="2520" w:right="102" w:firstLineChars="200" w:firstLine="420"/>
        <w:rPr>
          <w:rFonts w:ascii="楷体" w:eastAsia="楷体" w:hAnsi="楷体" w:cs="Times New Roman"/>
        </w:rPr>
      </w:pPr>
      <w:r w:rsidRPr="00C64AE1">
        <w:rPr>
          <w:rFonts w:ascii="楷体" w:eastAsia="楷体" w:hAnsi="楷体" w:cs="Times New Roman" w:hint="eastAsia"/>
        </w:rPr>
        <w:t>2018年，全市场基金</w:t>
      </w:r>
      <w:r w:rsidR="00ED1BD2" w:rsidRPr="00C64AE1">
        <w:rPr>
          <w:rFonts w:ascii="楷体" w:eastAsia="楷体" w:hAnsi="楷体" w:cs="Times New Roman" w:hint="eastAsia"/>
        </w:rPr>
        <w:t>整体</w:t>
      </w:r>
      <w:r w:rsidRPr="00C64AE1">
        <w:rPr>
          <w:rFonts w:ascii="楷体" w:eastAsia="楷体" w:hAnsi="楷体" w:cs="Times New Roman" w:hint="eastAsia"/>
        </w:rPr>
        <w:t>仓位相对较低，由5月份的0.57下降至目前的不及0.55，整体处于趋势性下行阶段</w:t>
      </w:r>
      <w:r w:rsidR="00ED1BD2" w:rsidRPr="00C64AE1">
        <w:rPr>
          <w:rFonts w:ascii="楷体" w:eastAsia="楷体" w:hAnsi="楷体" w:cs="Times New Roman" w:hint="eastAsia"/>
        </w:rPr>
        <w:t>，全市场基金经理对后市走向整体偏悲观</w:t>
      </w:r>
      <w:r w:rsidRPr="00C64AE1">
        <w:rPr>
          <w:rFonts w:ascii="楷体" w:eastAsia="楷体" w:hAnsi="楷体" w:cs="Times New Roman" w:hint="eastAsia"/>
        </w:rPr>
        <w:t>。从风险格偏好上，中市组合配比长期处于低位，小市值与大市值组合呈现交替见长的现象。自2018年10月以来，小市值组合再次向上突破大市值组合，成为基金仓位中，配置相对较高的市值组合，这与我们前述判断，中小板与创业板将率先反弹的基本判断相一致。</w:t>
      </w:r>
    </w:p>
    <w:p w:rsidR="00163577" w:rsidRPr="00C64AE1" w:rsidRDefault="00163577" w:rsidP="00446770">
      <w:pPr>
        <w:spacing w:beforeLines="50" w:afterLines="50" w:line="312" w:lineRule="auto"/>
        <w:ind w:leftChars="1200" w:left="2520" w:right="102" w:firstLineChars="200" w:firstLine="420"/>
        <w:rPr>
          <w:rFonts w:ascii="楷体" w:eastAsia="楷体" w:hAnsi="楷体" w:cs="Times New Roman"/>
        </w:rPr>
      </w:pPr>
      <w:r w:rsidRPr="00C64AE1">
        <w:rPr>
          <w:rFonts w:ascii="楷体" w:eastAsia="楷体" w:hAnsi="楷体" w:cs="Times New Roman" w:hint="eastAsia"/>
        </w:rPr>
        <w:t>全市场研究员情绪</w:t>
      </w:r>
      <w:r w:rsidR="00E77D6A" w:rsidRPr="00C64AE1">
        <w:rPr>
          <w:rFonts w:ascii="楷体" w:eastAsia="楷体" w:hAnsi="楷体" w:cs="Times New Roman" w:hint="eastAsia"/>
        </w:rPr>
        <w:t>方面，</w:t>
      </w:r>
      <w:r w:rsidR="002A3636" w:rsidRPr="00C64AE1">
        <w:rPr>
          <w:rFonts w:ascii="楷体" w:eastAsia="楷体" w:hAnsi="楷体" w:cs="Times New Roman" w:hint="eastAsia"/>
        </w:rPr>
        <w:t>全市场研究员情绪再次步入谷底，市场估值在下跌后，进入区间震荡，综合考虑低分析师情绪躁动、相对低估值与区间震荡等因素的影响，市场大概率低位震荡，对反弹动能形成情绪面</w:t>
      </w:r>
      <w:r w:rsidR="00BD3AE9" w:rsidRPr="00C64AE1">
        <w:rPr>
          <w:rFonts w:ascii="楷体" w:eastAsia="楷体" w:hAnsi="楷体" w:cs="Times New Roman" w:hint="eastAsia"/>
        </w:rPr>
        <w:t>的</w:t>
      </w:r>
      <w:r w:rsidR="002A3636" w:rsidRPr="00C64AE1">
        <w:rPr>
          <w:rFonts w:ascii="楷体" w:eastAsia="楷体" w:hAnsi="楷体" w:cs="Times New Roman" w:hint="eastAsia"/>
        </w:rPr>
        <w:t>压力。</w:t>
      </w:r>
    </w:p>
    <w:tbl>
      <w:tblPr>
        <w:tblW w:w="10157" w:type="dxa"/>
        <w:jc w:val="center"/>
        <w:tblLayout w:type="fixed"/>
        <w:tblCellMar>
          <w:left w:w="0" w:type="dxa"/>
          <w:right w:w="0" w:type="dxa"/>
        </w:tblCellMar>
        <w:tblLook w:val="01E0"/>
      </w:tblPr>
      <w:tblGrid>
        <w:gridCol w:w="5051"/>
        <w:gridCol w:w="56"/>
        <w:gridCol w:w="5050"/>
      </w:tblGrid>
      <w:tr w:rsidR="009966CE" w:rsidRPr="00C64AE1" w:rsidTr="009966CE">
        <w:trPr>
          <w:trHeight w:hRule="exact" w:val="323"/>
          <w:jc w:val="center"/>
        </w:trPr>
        <w:tc>
          <w:tcPr>
            <w:tcW w:w="5051" w:type="dxa"/>
            <w:tcBorders>
              <w:bottom w:val="single" w:sz="12" w:space="0" w:color="CC0000"/>
            </w:tcBorders>
            <w:shd w:val="clear" w:color="auto" w:fill="auto"/>
            <w:noWrap/>
            <w:vAlign w:val="bottom"/>
          </w:tcPr>
          <w:p w:rsidR="009966CE" w:rsidRPr="00C64AE1" w:rsidRDefault="009966CE" w:rsidP="00E4391E">
            <w:pPr>
              <w:keepNext/>
              <w:keepLines/>
              <w:rPr>
                <w:rFonts w:ascii="楷体" w:eastAsia="楷体" w:hAnsi="楷体" w:cs="Times New Roman"/>
                <w:sz w:val="20"/>
                <w:szCs w:val="20"/>
              </w:rPr>
            </w:pPr>
            <w:r w:rsidRPr="00C64AE1">
              <w:rPr>
                <w:rFonts w:ascii="楷体" w:eastAsia="楷体" w:hAnsi="楷体" w:cs="Times New Roman"/>
                <w:sz w:val="20"/>
                <w:szCs w:val="20"/>
              </w:rPr>
              <w:t>图</w:t>
            </w:r>
            <w:r w:rsidRPr="00C64AE1">
              <w:rPr>
                <w:rFonts w:ascii="楷体" w:eastAsia="楷体" w:hAnsi="楷体" w:cs="Times New Roman" w:hint="eastAsia"/>
                <w:sz w:val="20"/>
                <w:szCs w:val="20"/>
              </w:rPr>
              <w:t>1</w:t>
            </w:r>
            <w:r w:rsidR="00E4391E" w:rsidRPr="00C64AE1">
              <w:rPr>
                <w:rFonts w:ascii="楷体" w:eastAsia="楷体" w:hAnsi="楷体" w:cs="Times New Roman" w:hint="eastAsia"/>
                <w:sz w:val="20"/>
                <w:szCs w:val="20"/>
              </w:rPr>
              <w:t>5</w:t>
            </w:r>
            <w:r w:rsidRPr="00C64AE1">
              <w:rPr>
                <w:rFonts w:ascii="楷体" w:eastAsia="楷体" w:hAnsi="楷体" w:cs="Times New Roman"/>
                <w:sz w:val="20"/>
                <w:szCs w:val="20"/>
              </w:rPr>
              <w:t xml:space="preserve">  </w:t>
            </w:r>
            <w:r w:rsidRPr="00C64AE1">
              <w:rPr>
                <w:rFonts w:ascii="楷体" w:eastAsia="楷体" w:hAnsi="楷体" w:cs="Times New Roman" w:hint="eastAsia"/>
                <w:sz w:val="20"/>
                <w:szCs w:val="20"/>
              </w:rPr>
              <w:t>(</w:t>
            </w:r>
            <w:r w:rsidR="009D2D84" w:rsidRPr="00C64AE1">
              <w:rPr>
                <w:rFonts w:ascii="楷体" w:eastAsia="楷体" w:hAnsi="楷体" w:cs="Times New Roman" w:hint="eastAsia"/>
                <w:sz w:val="20"/>
                <w:szCs w:val="20"/>
              </w:rPr>
              <w:t>全市场基金调仓及风格偏好</w:t>
            </w:r>
            <w:r w:rsidRPr="00C64AE1">
              <w:rPr>
                <w:rFonts w:ascii="楷体" w:eastAsia="楷体" w:hAnsi="楷体" w:cs="Times New Roman" w:hint="eastAsia"/>
                <w:sz w:val="20"/>
                <w:szCs w:val="20"/>
              </w:rPr>
              <w:t>趋势图)</w:t>
            </w:r>
          </w:p>
        </w:tc>
        <w:tc>
          <w:tcPr>
            <w:tcW w:w="56" w:type="dxa"/>
            <w:shd w:val="clear" w:color="auto" w:fill="auto"/>
            <w:vAlign w:val="bottom"/>
          </w:tcPr>
          <w:p w:rsidR="009966CE" w:rsidRPr="00C64AE1" w:rsidRDefault="009966CE" w:rsidP="00F2372D">
            <w:pPr>
              <w:keepNext/>
              <w:keepLines/>
              <w:rPr>
                <w:rFonts w:ascii="楷体" w:eastAsia="楷体" w:hAnsi="楷体" w:cs="Times New Roman"/>
                <w:sz w:val="20"/>
                <w:szCs w:val="20"/>
              </w:rPr>
            </w:pPr>
          </w:p>
        </w:tc>
        <w:tc>
          <w:tcPr>
            <w:tcW w:w="5050" w:type="dxa"/>
            <w:tcBorders>
              <w:bottom w:val="single" w:sz="12" w:space="0" w:color="CC0000"/>
            </w:tcBorders>
            <w:shd w:val="clear" w:color="auto" w:fill="auto"/>
            <w:noWrap/>
            <w:vAlign w:val="bottom"/>
          </w:tcPr>
          <w:p w:rsidR="009966CE" w:rsidRPr="00C64AE1" w:rsidRDefault="009966CE" w:rsidP="00E4391E">
            <w:pPr>
              <w:keepNext/>
              <w:keepLines/>
              <w:rPr>
                <w:rFonts w:ascii="楷体" w:eastAsia="楷体" w:hAnsi="楷体" w:cs="Times New Roman"/>
                <w:sz w:val="20"/>
                <w:szCs w:val="20"/>
              </w:rPr>
            </w:pPr>
            <w:r w:rsidRPr="00C64AE1">
              <w:rPr>
                <w:rFonts w:ascii="楷体" w:eastAsia="楷体" w:hAnsi="楷体" w:cs="Times New Roman"/>
                <w:sz w:val="20"/>
                <w:szCs w:val="20"/>
              </w:rPr>
              <w:t>图</w:t>
            </w:r>
            <w:r w:rsidRPr="00C64AE1">
              <w:rPr>
                <w:rFonts w:ascii="楷体" w:eastAsia="楷体" w:hAnsi="楷体" w:cs="Times New Roman" w:hint="eastAsia"/>
                <w:sz w:val="20"/>
                <w:szCs w:val="20"/>
              </w:rPr>
              <w:t>1</w:t>
            </w:r>
            <w:r w:rsidR="00E4391E" w:rsidRPr="00C64AE1">
              <w:rPr>
                <w:rFonts w:ascii="楷体" w:eastAsia="楷体" w:hAnsi="楷体" w:cs="Times New Roman" w:hint="eastAsia"/>
                <w:sz w:val="20"/>
                <w:szCs w:val="20"/>
              </w:rPr>
              <w:t>6</w:t>
            </w:r>
            <w:r w:rsidRPr="00C64AE1">
              <w:rPr>
                <w:rFonts w:ascii="楷体" w:eastAsia="楷体" w:hAnsi="楷体" w:cs="Times New Roman"/>
                <w:sz w:val="20"/>
                <w:szCs w:val="20"/>
              </w:rPr>
              <w:t xml:space="preserve">  </w:t>
            </w:r>
            <w:r w:rsidRPr="00C64AE1">
              <w:rPr>
                <w:rFonts w:ascii="楷体" w:eastAsia="楷体" w:hAnsi="楷体" w:cs="Times New Roman" w:hint="eastAsia"/>
                <w:sz w:val="20"/>
                <w:szCs w:val="20"/>
              </w:rPr>
              <w:t>(</w:t>
            </w:r>
            <w:r w:rsidR="009D2D84" w:rsidRPr="00C64AE1">
              <w:rPr>
                <w:rFonts w:ascii="楷体" w:eastAsia="楷体" w:hAnsi="楷体" w:cs="Times New Roman" w:hint="eastAsia"/>
                <w:sz w:val="20"/>
                <w:szCs w:val="20"/>
              </w:rPr>
              <w:t>全市场研究员情绪及市场估值</w:t>
            </w:r>
            <w:r w:rsidRPr="00C64AE1">
              <w:rPr>
                <w:rFonts w:ascii="楷体" w:eastAsia="楷体" w:hAnsi="楷体" w:cs="Times New Roman" w:hint="eastAsia"/>
                <w:sz w:val="20"/>
                <w:szCs w:val="20"/>
              </w:rPr>
              <w:t>趋势图)</w:t>
            </w:r>
          </w:p>
        </w:tc>
      </w:tr>
      <w:tr w:rsidR="009966CE" w:rsidRPr="00C64AE1" w:rsidTr="009D2D84">
        <w:trPr>
          <w:trHeight w:hRule="exact" w:val="2952"/>
          <w:jc w:val="center"/>
        </w:trPr>
        <w:tc>
          <w:tcPr>
            <w:tcW w:w="5051" w:type="dxa"/>
            <w:tcBorders>
              <w:top w:val="single" w:sz="12" w:space="0" w:color="CC0000"/>
              <w:bottom w:val="single" w:sz="12" w:space="0" w:color="CC0000"/>
            </w:tcBorders>
            <w:shd w:val="clear" w:color="auto" w:fill="auto"/>
            <w:noWrap/>
          </w:tcPr>
          <w:p w:rsidR="009966CE" w:rsidRPr="00C64AE1" w:rsidRDefault="002A6045" w:rsidP="00F2372D">
            <w:pPr>
              <w:keepNext/>
              <w:keepLines/>
              <w:jc w:val="center"/>
              <w:rPr>
                <w:rFonts w:ascii="楷体" w:eastAsia="楷体" w:hAnsi="楷体" w:cs="Times New Roman"/>
                <w:szCs w:val="24"/>
              </w:rPr>
            </w:pPr>
            <w:r w:rsidRPr="00C64AE1">
              <w:rPr>
                <w:rFonts w:ascii="楷体" w:eastAsia="楷体" w:hAnsi="楷体" w:cs="Times New Roman"/>
                <w:noProof/>
                <w:szCs w:val="24"/>
              </w:rPr>
              <w:drawing>
                <wp:inline distT="0" distB="0" distL="0" distR="0">
                  <wp:extent cx="3209958" cy="1721772"/>
                  <wp:effectExtent l="19050" t="0" r="9492" b="0"/>
                  <wp:docPr id="17" name="图片 3" descr="C:\Users\dengss\AppData\Local\Temp\1546997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gss\AppData\Local\Temp\1546997329(1).png"/>
                          <pic:cNvPicPr>
                            <a:picLocks noChangeAspect="1" noChangeArrowheads="1"/>
                          </pic:cNvPicPr>
                        </pic:nvPicPr>
                        <pic:blipFill>
                          <a:blip r:embed="rId32"/>
                          <a:srcRect/>
                          <a:stretch>
                            <a:fillRect/>
                          </a:stretch>
                        </pic:blipFill>
                        <pic:spPr bwMode="auto">
                          <a:xfrm>
                            <a:off x="0" y="0"/>
                            <a:ext cx="3209958" cy="1721772"/>
                          </a:xfrm>
                          <a:prstGeom prst="rect">
                            <a:avLst/>
                          </a:prstGeom>
                          <a:noFill/>
                          <a:ln w="9525">
                            <a:noFill/>
                            <a:miter lim="800000"/>
                            <a:headEnd/>
                            <a:tailEnd/>
                          </a:ln>
                        </pic:spPr>
                      </pic:pic>
                    </a:graphicData>
                  </a:graphic>
                </wp:inline>
              </w:drawing>
            </w:r>
          </w:p>
        </w:tc>
        <w:tc>
          <w:tcPr>
            <w:tcW w:w="56" w:type="dxa"/>
            <w:shd w:val="clear" w:color="auto" w:fill="FFFFFF"/>
          </w:tcPr>
          <w:p w:rsidR="009966CE" w:rsidRPr="00C64AE1" w:rsidRDefault="009966CE" w:rsidP="00F2372D">
            <w:pPr>
              <w:keepNext/>
              <w:keepLines/>
              <w:ind w:firstLine="420"/>
              <w:jc w:val="center"/>
              <w:rPr>
                <w:rFonts w:ascii="楷体" w:eastAsia="楷体" w:hAnsi="楷体" w:cs="Times New Roman"/>
                <w:szCs w:val="24"/>
              </w:rPr>
            </w:pPr>
          </w:p>
        </w:tc>
        <w:tc>
          <w:tcPr>
            <w:tcW w:w="5050" w:type="dxa"/>
            <w:tcBorders>
              <w:top w:val="single" w:sz="12" w:space="0" w:color="CC0000"/>
              <w:bottom w:val="single" w:sz="12" w:space="0" w:color="CC0000"/>
            </w:tcBorders>
            <w:shd w:val="clear" w:color="auto" w:fill="auto"/>
            <w:noWrap/>
          </w:tcPr>
          <w:p w:rsidR="009966CE" w:rsidRPr="00C64AE1" w:rsidRDefault="002A6045" w:rsidP="00F2372D">
            <w:pPr>
              <w:keepNext/>
              <w:keepLines/>
              <w:jc w:val="center"/>
              <w:rPr>
                <w:rFonts w:ascii="楷体" w:eastAsia="楷体" w:hAnsi="楷体" w:cs="Times New Roman"/>
                <w:szCs w:val="24"/>
              </w:rPr>
            </w:pPr>
            <w:r w:rsidRPr="00C64AE1">
              <w:rPr>
                <w:rFonts w:ascii="楷体" w:eastAsia="楷体" w:hAnsi="楷体" w:cs="Times New Roman"/>
                <w:noProof/>
                <w:szCs w:val="24"/>
              </w:rPr>
              <w:drawing>
                <wp:inline distT="0" distB="0" distL="0" distR="0">
                  <wp:extent cx="3218213" cy="1740063"/>
                  <wp:effectExtent l="19050" t="0" r="1237" b="0"/>
                  <wp:docPr id="20" name="图片 4" descr="C:\Users\dengss\AppData\Local\Temp\15469973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gss\AppData\Local\Temp\1546997396(1).png"/>
                          <pic:cNvPicPr>
                            <a:picLocks noChangeAspect="1" noChangeArrowheads="1"/>
                          </pic:cNvPicPr>
                        </pic:nvPicPr>
                        <pic:blipFill>
                          <a:blip r:embed="rId33"/>
                          <a:srcRect/>
                          <a:stretch>
                            <a:fillRect/>
                          </a:stretch>
                        </pic:blipFill>
                        <pic:spPr bwMode="auto">
                          <a:xfrm>
                            <a:off x="0" y="0"/>
                            <a:ext cx="3220116" cy="1741092"/>
                          </a:xfrm>
                          <a:prstGeom prst="rect">
                            <a:avLst/>
                          </a:prstGeom>
                          <a:noFill/>
                          <a:ln w="9525">
                            <a:noFill/>
                            <a:miter lim="800000"/>
                            <a:headEnd/>
                            <a:tailEnd/>
                          </a:ln>
                        </pic:spPr>
                      </pic:pic>
                    </a:graphicData>
                  </a:graphic>
                </wp:inline>
              </w:drawing>
            </w:r>
          </w:p>
        </w:tc>
      </w:tr>
      <w:tr w:rsidR="009966CE" w:rsidRPr="00C64AE1" w:rsidTr="009966CE">
        <w:trPr>
          <w:trHeight w:val="256"/>
          <w:jc w:val="center"/>
        </w:trPr>
        <w:tc>
          <w:tcPr>
            <w:tcW w:w="5051" w:type="dxa"/>
            <w:tcBorders>
              <w:top w:val="single" w:sz="12" w:space="0" w:color="CC0000"/>
            </w:tcBorders>
            <w:shd w:val="clear" w:color="auto" w:fill="auto"/>
            <w:noWrap/>
          </w:tcPr>
          <w:p w:rsidR="009966CE" w:rsidRPr="00C64AE1" w:rsidRDefault="009966CE" w:rsidP="00F2372D">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00910F5B" w:rsidRPr="00C64AE1">
              <w:rPr>
                <w:rFonts w:ascii="楷体" w:eastAsia="楷体" w:hAnsi="楷体" w:cs="Times New Roman" w:hint="eastAsia"/>
                <w:sz w:val="20"/>
                <w:szCs w:val="20"/>
              </w:rPr>
              <w:t>Wind、</w:t>
            </w:r>
            <w:r w:rsidRPr="00C64AE1">
              <w:rPr>
                <w:rFonts w:ascii="楷体" w:eastAsia="楷体" w:hAnsi="楷体" w:cs="Times New Roman" w:hint="eastAsia"/>
                <w:sz w:val="20"/>
                <w:szCs w:val="20"/>
              </w:rPr>
              <w:t>中山证券研究所</w:t>
            </w:r>
          </w:p>
        </w:tc>
        <w:tc>
          <w:tcPr>
            <w:tcW w:w="56" w:type="dxa"/>
            <w:shd w:val="clear" w:color="auto" w:fill="auto"/>
          </w:tcPr>
          <w:p w:rsidR="009966CE" w:rsidRPr="00C64AE1" w:rsidRDefault="009966CE" w:rsidP="00F2372D">
            <w:pPr>
              <w:keepNext/>
              <w:keepLines/>
              <w:rPr>
                <w:rFonts w:ascii="楷体" w:eastAsia="楷体" w:hAnsi="楷体" w:cs="Times New Roman"/>
                <w:sz w:val="20"/>
                <w:szCs w:val="20"/>
              </w:rPr>
            </w:pPr>
          </w:p>
        </w:tc>
        <w:tc>
          <w:tcPr>
            <w:tcW w:w="5050" w:type="dxa"/>
            <w:tcBorders>
              <w:top w:val="single" w:sz="12" w:space="0" w:color="CC0000"/>
            </w:tcBorders>
            <w:shd w:val="clear" w:color="auto" w:fill="auto"/>
            <w:noWrap/>
          </w:tcPr>
          <w:p w:rsidR="009966CE" w:rsidRPr="00C64AE1" w:rsidRDefault="009966CE" w:rsidP="00F2372D">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00910F5B" w:rsidRPr="00C64AE1">
              <w:rPr>
                <w:rFonts w:ascii="楷体" w:eastAsia="楷体" w:hAnsi="楷体" w:cs="Times New Roman" w:hint="eastAsia"/>
                <w:sz w:val="20"/>
                <w:szCs w:val="20"/>
              </w:rPr>
              <w:t>Wind、</w:t>
            </w:r>
            <w:r w:rsidRPr="00C64AE1">
              <w:rPr>
                <w:rFonts w:ascii="楷体" w:eastAsia="楷体" w:hAnsi="楷体" w:cs="Times New Roman" w:hint="eastAsia"/>
                <w:sz w:val="20"/>
                <w:szCs w:val="20"/>
              </w:rPr>
              <w:t>中山证券研究所</w:t>
            </w:r>
          </w:p>
        </w:tc>
      </w:tr>
    </w:tbl>
    <w:p w:rsidR="00474385" w:rsidRPr="00C64AE1" w:rsidRDefault="009966CE"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由此可</w:t>
      </w:r>
      <w:r w:rsidR="00371054" w:rsidRPr="00C64AE1">
        <w:rPr>
          <w:rFonts w:ascii="楷体" w:eastAsia="楷体" w:hAnsi="楷体" w:cs="Times New Roman" w:hint="eastAsia"/>
        </w:rPr>
        <w:t>见</w:t>
      </w:r>
      <w:r w:rsidR="00264461" w:rsidRPr="00C64AE1">
        <w:rPr>
          <w:rFonts w:ascii="楷体" w:eastAsia="楷体" w:hAnsi="楷体" w:cs="Times New Roman" w:hint="eastAsia"/>
        </w:rPr>
        <w:t>，北上资金增量放缓、</w:t>
      </w:r>
      <w:r w:rsidRPr="00C64AE1">
        <w:rPr>
          <w:rFonts w:ascii="楷体" w:eastAsia="楷体" w:hAnsi="楷体" w:cs="Times New Roman" w:hint="eastAsia"/>
        </w:rPr>
        <w:t>沪深两市主力资金外逃</w:t>
      </w:r>
      <w:r w:rsidR="00264461" w:rsidRPr="00C64AE1">
        <w:rPr>
          <w:rFonts w:ascii="楷体" w:eastAsia="楷体" w:hAnsi="楷体" w:cs="Times New Roman" w:hint="eastAsia"/>
        </w:rPr>
        <w:t>、</w:t>
      </w:r>
      <w:r w:rsidRPr="00C64AE1">
        <w:rPr>
          <w:rFonts w:ascii="楷体" w:eastAsia="楷体" w:hAnsi="楷体" w:cs="Times New Roman" w:hint="eastAsia"/>
        </w:rPr>
        <w:t>卖方分析师推荐情绪步入尾部状态</w:t>
      </w:r>
      <w:r w:rsidR="00264461" w:rsidRPr="00C64AE1">
        <w:rPr>
          <w:rFonts w:ascii="楷体" w:eastAsia="楷体" w:hAnsi="楷体" w:cs="Times New Roman" w:hint="eastAsia"/>
        </w:rPr>
        <w:t>、</w:t>
      </w:r>
      <w:r w:rsidRPr="00C64AE1">
        <w:rPr>
          <w:rFonts w:ascii="楷体" w:eastAsia="楷体" w:hAnsi="楷体" w:cs="Times New Roman" w:hint="eastAsia"/>
        </w:rPr>
        <w:t>基金</w:t>
      </w:r>
      <w:r w:rsidR="00371054" w:rsidRPr="00C64AE1">
        <w:rPr>
          <w:rFonts w:ascii="楷体" w:eastAsia="楷体" w:hAnsi="楷体" w:cs="Times New Roman" w:hint="eastAsia"/>
        </w:rPr>
        <w:t>仓位</w:t>
      </w:r>
      <w:r w:rsidR="00264461" w:rsidRPr="00C64AE1">
        <w:rPr>
          <w:rFonts w:ascii="楷体" w:eastAsia="楷体" w:hAnsi="楷体" w:cs="Times New Roman" w:hint="eastAsia"/>
        </w:rPr>
        <w:t>与成交额</w:t>
      </w:r>
      <w:r w:rsidRPr="00C64AE1">
        <w:rPr>
          <w:rFonts w:ascii="楷体" w:eastAsia="楷体" w:hAnsi="楷体" w:cs="Times New Roman" w:hint="eastAsia"/>
        </w:rPr>
        <w:t>震荡下行，</w:t>
      </w:r>
      <w:r w:rsidR="00264461" w:rsidRPr="00C64AE1">
        <w:rPr>
          <w:rFonts w:ascii="楷体" w:eastAsia="楷体" w:hAnsi="楷体" w:cs="Times New Roman" w:hint="eastAsia"/>
        </w:rPr>
        <w:t>市场</w:t>
      </w:r>
      <w:r w:rsidR="00A60BA3" w:rsidRPr="00C64AE1">
        <w:rPr>
          <w:rFonts w:ascii="楷体" w:eastAsia="楷体" w:hAnsi="楷体" w:cs="Times New Roman" w:hint="eastAsia"/>
        </w:rPr>
        <w:t>悲观情绪蔓延、</w:t>
      </w:r>
      <w:r w:rsidR="00264461" w:rsidRPr="00C64AE1">
        <w:rPr>
          <w:rFonts w:ascii="楷体" w:eastAsia="楷体" w:hAnsi="楷体" w:cs="Times New Roman" w:hint="eastAsia"/>
        </w:rPr>
        <w:t>资金面</w:t>
      </w:r>
      <w:r w:rsidR="00A60BA3" w:rsidRPr="00C64AE1">
        <w:rPr>
          <w:rFonts w:ascii="楷体" w:eastAsia="楷体" w:hAnsi="楷体" w:cs="Times New Roman" w:hint="eastAsia"/>
        </w:rPr>
        <w:t>在投资方向上的分歧</w:t>
      </w:r>
      <w:r w:rsidR="00264461" w:rsidRPr="00C64AE1">
        <w:rPr>
          <w:rFonts w:ascii="楷体" w:eastAsia="楷体" w:hAnsi="楷体" w:cs="Times New Roman" w:hint="eastAsia"/>
        </w:rPr>
        <w:t>，对市场形成</w:t>
      </w:r>
      <w:r w:rsidR="00A60BA3" w:rsidRPr="00C64AE1">
        <w:rPr>
          <w:rFonts w:ascii="楷体" w:eastAsia="楷体" w:hAnsi="楷体" w:cs="Times New Roman" w:hint="eastAsia"/>
        </w:rPr>
        <w:t>向下</w:t>
      </w:r>
      <w:r w:rsidR="00264461" w:rsidRPr="00C64AE1">
        <w:rPr>
          <w:rFonts w:ascii="楷体" w:eastAsia="楷体" w:hAnsi="楷体" w:cs="Times New Roman" w:hint="eastAsia"/>
        </w:rPr>
        <w:t>共振，预期股指后市反弹</w:t>
      </w:r>
      <w:r w:rsidR="00C60F24" w:rsidRPr="00C64AE1">
        <w:rPr>
          <w:rFonts w:ascii="楷体" w:eastAsia="楷体" w:hAnsi="楷体" w:cs="Times New Roman" w:hint="eastAsia"/>
        </w:rPr>
        <w:t>无力，延续震荡偏空的趋势</w:t>
      </w:r>
      <w:r w:rsidRPr="00C64AE1">
        <w:rPr>
          <w:rFonts w:ascii="楷体" w:eastAsia="楷体" w:hAnsi="楷体" w:cs="Times New Roman" w:hint="eastAsia"/>
        </w:rPr>
        <w:t>。</w:t>
      </w:r>
    </w:p>
    <w:p w:rsidR="00582D07" w:rsidRPr="00C64AE1" w:rsidRDefault="00582D07" w:rsidP="00446770">
      <w:pPr>
        <w:widowControl/>
        <w:numPr>
          <w:ilvl w:val="1"/>
          <w:numId w:val="0"/>
        </w:numPr>
        <w:spacing w:beforeLines="50" w:afterLines="50" w:line="360" w:lineRule="auto"/>
        <w:ind w:leftChars="1200" w:left="3026" w:hangingChars="180" w:hanging="506"/>
        <w:outlineLvl w:val="1"/>
        <w:rPr>
          <w:rFonts w:ascii="楷体" w:eastAsia="楷体" w:hAnsi="楷体" w:cs="Times New Roman"/>
          <w:b/>
          <w:sz w:val="28"/>
        </w:rPr>
      </w:pPr>
      <w:bookmarkStart w:id="19" w:name="_Toc531856904"/>
      <w:r w:rsidRPr="00C64AE1">
        <w:rPr>
          <w:rFonts w:ascii="楷体" w:eastAsia="楷体" w:hAnsi="楷体" w:cs="Times New Roman" w:hint="eastAsia"/>
          <w:b/>
          <w:sz w:val="28"/>
        </w:rPr>
        <w:t>1.5</w:t>
      </w:r>
      <w:r w:rsidR="009B3836" w:rsidRPr="00C64AE1">
        <w:rPr>
          <w:rFonts w:ascii="楷体" w:eastAsia="楷体" w:hAnsi="楷体" w:cs="Times New Roman" w:hint="eastAsia"/>
          <w:b/>
          <w:sz w:val="28"/>
        </w:rPr>
        <w:t>规模因子突出、盈利与流动性等因子表现良好</w:t>
      </w:r>
      <w:bookmarkEnd w:id="19"/>
    </w:p>
    <w:p w:rsidR="00582D07" w:rsidRPr="00C64AE1" w:rsidRDefault="00C330CF"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多因子表现方面，</w:t>
      </w:r>
      <w:r w:rsidR="00697663" w:rsidRPr="00C64AE1">
        <w:rPr>
          <w:rFonts w:ascii="楷体" w:eastAsia="楷体" w:hAnsi="楷体" w:cs="Times New Roman" w:hint="eastAsia"/>
        </w:rPr>
        <w:t>根据市场</w:t>
      </w:r>
      <w:r w:rsidR="009B3836" w:rsidRPr="00C64AE1">
        <w:rPr>
          <w:rFonts w:ascii="楷体" w:eastAsia="楷体" w:hAnsi="楷体" w:cs="Times New Roman" w:hint="eastAsia"/>
        </w:rPr>
        <w:t>通用做法</w:t>
      </w:r>
      <w:r w:rsidR="00697663" w:rsidRPr="00C64AE1">
        <w:rPr>
          <w:rFonts w:ascii="楷体" w:eastAsia="楷体" w:hAnsi="楷体" w:cs="Times New Roman" w:hint="eastAsia"/>
        </w:rPr>
        <w:t>，我们采取</w:t>
      </w:r>
      <w:r w:rsidR="009B3836" w:rsidRPr="00C64AE1">
        <w:rPr>
          <w:rFonts w:ascii="楷体" w:eastAsia="楷体" w:hAnsi="楷体" w:cs="Times New Roman" w:hint="eastAsia"/>
        </w:rPr>
        <w:t>等权加权合成方法，并对除规模因子之外的其他因子采取中性化处理，</w:t>
      </w:r>
      <w:r w:rsidR="00697663" w:rsidRPr="00C64AE1">
        <w:rPr>
          <w:rFonts w:ascii="楷体" w:eastAsia="楷体" w:hAnsi="楷体" w:cs="Times New Roman" w:hint="eastAsia"/>
        </w:rPr>
        <w:t>分析规模、估值、盈利、成长、营运、反转、流动性以及波动率的短期、与中长市场表现，详情如表2所示：</w:t>
      </w:r>
    </w:p>
    <w:p w:rsidR="00EA0A32" w:rsidRPr="00C64AE1" w:rsidRDefault="00EA0A32" w:rsidP="00446770">
      <w:pPr>
        <w:widowControl/>
        <w:spacing w:beforeLines="50" w:afterLines="50" w:line="312" w:lineRule="auto"/>
        <w:ind w:leftChars="1200" w:left="2520" w:firstLineChars="200" w:firstLine="420"/>
        <w:rPr>
          <w:rFonts w:ascii="楷体" w:eastAsia="楷体" w:hAnsi="楷体" w:cs="Times New Roman"/>
        </w:rPr>
      </w:pPr>
    </w:p>
    <w:p w:rsidR="00EA0A32" w:rsidRPr="00C64AE1" w:rsidRDefault="00EA0A32" w:rsidP="00446770">
      <w:pPr>
        <w:widowControl/>
        <w:spacing w:beforeLines="50" w:afterLines="50" w:line="312" w:lineRule="auto"/>
        <w:ind w:leftChars="1200" w:left="2520" w:firstLineChars="200" w:firstLine="420"/>
        <w:rPr>
          <w:rFonts w:ascii="楷体" w:eastAsia="楷体" w:hAnsi="楷体" w:cs="Times New Roman"/>
        </w:rPr>
      </w:pPr>
    </w:p>
    <w:p w:rsidR="00EA0A32" w:rsidRPr="00C64AE1" w:rsidRDefault="00EA0A32" w:rsidP="00446770">
      <w:pPr>
        <w:widowControl/>
        <w:spacing w:beforeLines="50" w:afterLines="50" w:line="312" w:lineRule="auto"/>
        <w:ind w:leftChars="1200" w:left="2520" w:firstLineChars="200" w:firstLine="420"/>
        <w:rPr>
          <w:rFonts w:ascii="楷体" w:eastAsia="楷体" w:hAnsi="楷体" w:cs="Times New Roman"/>
        </w:rPr>
      </w:pPr>
    </w:p>
    <w:tbl>
      <w:tblPr>
        <w:tblW w:w="3637" w:type="pct"/>
        <w:jc w:val="right"/>
        <w:tblLook w:val="04A0"/>
      </w:tblPr>
      <w:tblGrid>
        <w:gridCol w:w="1393"/>
        <w:gridCol w:w="1495"/>
        <w:gridCol w:w="1842"/>
        <w:gridCol w:w="1559"/>
        <w:gridCol w:w="1704"/>
      </w:tblGrid>
      <w:tr w:rsidR="00880DB3" w:rsidRPr="00C64AE1" w:rsidTr="00023874">
        <w:trPr>
          <w:trHeight w:val="213"/>
          <w:jc w:val="right"/>
        </w:trPr>
        <w:tc>
          <w:tcPr>
            <w:tcW w:w="4998" w:type="pct"/>
            <w:gridSpan w:val="5"/>
            <w:tcBorders>
              <w:bottom w:val="single" w:sz="12" w:space="0" w:color="BE0000"/>
            </w:tcBorders>
          </w:tcPr>
          <w:p w:rsidR="00880DB3" w:rsidRPr="00C64AE1" w:rsidRDefault="00880DB3" w:rsidP="00023874">
            <w:pPr>
              <w:pStyle w:val="af3"/>
              <w:jc w:val="left"/>
              <w:rPr>
                <w:rFonts w:ascii="楷体" w:eastAsia="楷体" w:hAnsi="楷体"/>
              </w:rPr>
            </w:pPr>
            <w:bookmarkStart w:id="20" w:name="_Toc528505609"/>
            <w:bookmarkStart w:id="21" w:name="_Toc530557283"/>
            <w:bookmarkStart w:id="22" w:name="_Toc531856905"/>
            <w:r w:rsidRPr="00C64AE1">
              <w:rPr>
                <w:rFonts w:ascii="楷体" w:eastAsia="楷体" w:hAnsi="楷体" w:hint="eastAsia"/>
              </w:rPr>
              <w:lastRenderedPageBreak/>
              <w:t>表2</w:t>
            </w:r>
            <w:r w:rsidRPr="00C64AE1">
              <w:rPr>
                <w:rFonts w:ascii="楷体" w:eastAsia="楷体" w:hAnsi="楷体"/>
              </w:rPr>
              <w:t xml:space="preserve">  </w:t>
            </w:r>
            <w:bookmarkStart w:id="23" w:name="OLE_LINK17"/>
            <w:bookmarkStart w:id="24" w:name="OLE_LINK18"/>
            <w:bookmarkStart w:id="25" w:name="OLE_LINK19"/>
            <w:r w:rsidRPr="00C64AE1">
              <w:rPr>
                <w:rFonts w:ascii="楷体" w:eastAsia="楷体" w:hAnsi="楷体" w:hint="eastAsia"/>
              </w:rPr>
              <w:t>合成大类</w:t>
            </w:r>
            <w:r w:rsidRPr="00C64AE1">
              <w:rPr>
                <w:rFonts w:ascii="楷体" w:eastAsia="楷体" w:hAnsi="楷体" w:cs="Arial" w:hint="eastAsia"/>
                <w:kern w:val="0"/>
              </w:rPr>
              <w:t>因子对冲中证500的收益</w:t>
            </w:r>
            <w:bookmarkEnd w:id="20"/>
            <w:bookmarkEnd w:id="21"/>
            <w:bookmarkEnd w:id="23"/>
            <w:bookmarkEnd w:id="24"/>
            <w:bookmarkEnd w:id="25"/>
            <w:r w:rsidRPr="00C64AE1">
              <w:rPr>
                <w:rFonts w:ascii="楷体" w:eastAsia="楷体" w:hAnsi="楷体" w:cs="Arial" w:hint="eastAsia"/>
                <w:kern w:val="0"/>
              </w:rPr>
              <w:t>表现</w:t>
            </w:r>
          </w:p>
        </w:tc>
      </w:tr>
      <w:tr w:rsidR="00880DB3" w:rsidRPr="00C64AE1" w:rsidTr="00023874">
        <w:trPr>
          <w:trHeight w:val="454"/>
          <w:jc w:val="right"/>
        </w:trPr>
        <w:tc>
          <w:tcPr>
            <w:tcW w:w="871" w:type="pct"/>
            <w:vMerge w:val="restart"/>
            <w:tcBorders>
              <w:top w:val="single" w:sz="12" w:space="0" w:color="BE0000"/>
              <w:left w:val="dotted" w:sz="4" w:space="0" w:color="auto"/>
              <w:right w:val="dotted" w:sz="4" w:space="0" w:color="auto"/>
            </w:tcBorders>
            <w:vAlign w:val="center"/>
          </w:tcPr>
          <w:p w:rsidR="00880DB3" w:rsidRPr="00C64AE1" w:rsidRDefault="00880DB3" w:rsidP="00023874">
            <w:pPr>
              <w:widowControl/>
              <w:jc w:val="center"/>
              <w:rPr>
                <w:rFonts w:ascii="Times New Roman" w:eastAsia="楷体" w:hAnsi="Times New Roman"/>
                <w:b/>
                <w:kern w:val="0"/>
                <w:szCs w:val="21"/>
              </w:rPr>
            </w:pPr>
            <w:bookmarkStart w:id="26" w:name="_Hlk530555049"/>
            <w:r w:rsidRPr="00C64AE1">
              <w:rPr>
                <w:rFonts w:ascii="Times New Roman" w:eastAsia="楷体" w:hAnsi="楷体" w:hint="eastAsia"/>
                <w:b/>
                <w:kern w:val="0"/>
                <w:szCs w:val="21"/>
              </w:rPr>
              <w:t>因子类别</w:t>
            </w:r>
          </w:p>
        </w:tc>
        <w:tc>
          <w:tcPr>
            <w:tcW w:w="2087" w:type="pct"/>
            <w:gridSpan w:val="2"/>
            <w:tcBorders>
              <w:top w:val="single" w:sz="12" w:space="0" w:color="BE0000"/>
              <w:left w:val="dotted" w:sz="4" w:space="0" w:color="auto"/>
              <w:bottom w:val="single" w:sz="6" w:space="0" w:color="BE0000"/>
              <w:right w:val="dotted" w:sz="4" w:space="0" w:color="auto"/>
            </w:tcBorders>
            <w:shd w:val="clear" w:color="auto" w:fill="auto"/>
            <w:noWrap/>
            <w:vAlign w:val="center"/>
          </w:tcPr>
          <w:p w:rsidR="00880DB3" w:rsidRPr="00C64AE1" w:rsidRDefault="00880DB3" w:rsidP="00023874">
            <w:pPr>
              <w:jc w:val="center"/>
              <w:rPr>
                <w:rFonts w:ascii="Times New Roman" w:eastAsia="楷体" w:hAnsi="Times New Roman"/>
                <w:b/>
                <w:szCs w:val="21"/>
              </w:rPr>
            </w:pPr>
            <w:r w:rsidRPr="00C64AE1">
              <w:rPr>
                <w:rFonts w:ascii="Times New Roman" w:eastAsia="楷体" w:hint="eastAsia"/>
                <w:b/>
                <w:szCs w:val="21"/>
              </w:rPr>
              <w:t>因子对冲收益</w:t>
            </w:r>
          </w:p>
        </w:tc>
        <w:tc>
          <w:tcPr>
            <w:tcW w:w="2041" w:type="pct"/>
            <w:gridSpan w:val="2"/>
            <w:tcBorders>
              <w:top w:val="single" w:sz="12" w:space="0" w:color="BE0000"/>
              <w:left w:val="dotted" w:sz="4" w:space="0" w:color="auto"/>
              <w:bottom w:val="single" w:sz="6" w:space="0" w:color="BE0000"/>
              <w:right w:val="dotted" w:sz="4" w:space="0" w:color="auto"/>
            </w:tcBorders>
            <w:shd w:val="clear" w:color="auto" w:fill="auto"/>
            <w:noWrap/>
            <w:vAlign w:val="center"/>
          </w:tcPr>
          <w:p w:rsidR="00880DB3" w:rsidRPr="00C64AE1" w:rsidRDefault="00880DB3" w:rsidP="00023874">
            <w:pPr>
              <w:jc w:val="center"/>
              <w:rPr>
                <w:rFonts w:ascii="Times New Roman" w:eastAsia="楷体" w:hAnsi="Times New Roman"/>
                <w:b/>
                <w:szCs w:val="21"/>
              </w:rPr>
            </w:pPr>
            <w:r w:rsidRPr="00C64AE1">
              <w:rPr>
                <w:rFonts w:ascii="Times New Roman" w:eastAsia="楷体" w:hint="eastAsia"/>
                <w:b/>
                <w:szCs w:val="21"/>
              </w:rPr>
              <w:t>因子多空收益</w:t>
            </w:r>
          </w:p>
        </w:tc>
      </w:tr>
      <w:bookmarkEnd w:id="26"/>
      <w:tr w:rsidR="00880DB3" w:rsidRPr="00C64AE1" w:rsidTr="00023874">
        <w:trPr>
          <w:trHeight w:val="454"/>
          <w:jc w:val="right"/>
        </w:trPr>
        <w:tc>
          <w:tcPr>
            <w:tcW w:w="871" w:type="pct"/>
            <w:vMerge/>
            <w:tcBorders>
              <w:left w:val="dotted" w:sz="4" w:space="0" w:color="auto"/>
              <w:bottom w:val="single" w:sz="6" w:space="0" w:color="BE0000"/>
              <w:right w:val="dotted" w:sz="4" w:space="0" w:color="auto"/>
            </w:tcBorders>
            <w:vAlign w:val="center"/>
          </w:tcPr>
          <w:p w:rsidR="00880DB3" w:rsidRPr="00C64AE1" w:rsidRDefault="00880DB3" w:rsidP="00023874">
            <w:pPr>
              <w:jc w:val="center"/>
              <w:rPr>
                <w:rFonts w:ascii="Times New Roman" w:eastAsia="楷体" w:hAnsi="Times New Roman"/>
                <w:b/>
                <w:kern w:val="0"/>
                <w:szCs w:val="21"/>
              </w:rPr>
            </w:pPr>
          </w:p>
        </w:tc>
        <w:tc>
          <w:tcPr>
            <w:tcW w:w="935" w:type="pct"/>
            <w:tcBorders>
              <w:top w:val="single" w:sz="6" w:space="0" w:color="BE0000"/>
              <w:left w:val="dotted" w:sz="4" w:space="0" w:color="auto"/>
              <w:bottom w:val="single" w:sz="6" w:space="0" w:color="BE0000"/>
              <w:right w:val="dotted" w:sz="4" w:space="0" w:color="auto"/>
            </w:tcBorders>
            <w:shd w:val="clear" w:color="auto" w:fill="auto"/>
            <w:noWrap/>
            <w:vAlign w:val="center"/>
          </w:tcPr>
          <w:p w:rsidR="00880DB3" w:rsidRPr="00C64AE1" w:rsidRDefault="00880DB3" w:rsidP="00023874">
            <w:pPr>
              <w:jc w:val="center"/>
              <w:rPr>
                <w:rFonts w:ascii="Times New Roman" w:eastAsia="楷体" w:hAnsi="Times New Roman"/>
                <w:b/>
                <w:sz w:val="18"/>
                <w:szCs w:val="21"/>
              </w:rPr>
            </w:pPr>
            <w:r w:rsidRPr="00C64AE1">
              <w:rPr>
                <w:rFonts w:ascii="Times New Roman" w:eastAsia="楷体" w:hAnsi="Times New Roman" w:hint="eastAsia"/>
                <w:b/>
                <w:sz w:val="18"/>
                <w:szCs w:val="21"/>
              </w:rPr>
              <w:t>2018</w:t>
            </w:r>
            <w:r w:rsidRPr="00C64AE1">
              <w:rPr>
                <w:rFonts w:ascii="Times New Roman" w:eastAsia="楷体" w:hAnsi="楷体" w:hint="eastAsia"/>
                <w:b/>
                <w:sz w:val="18"/>
                <w:szCs w:val="21"/>
              </w:rPr>
              <w:t>收益</w:t>
            </w:r>
          </w:p>
        </w:tc>
        <w:tc>
          <w:tcPr>
            <w:tcW w:w="1152" w:type="pct"/>
            <w:tcBorders>
              <w:top w:val="single" w:sz="6" w:space="0" w:color="BE0000"/>
              <w:left w:val="dotted" w:sz="4" w:space="0" w:color="auto"/>
              <w:bottom w:val="single" w:sz="6" w:space="0" w:color="BE0000"/>
              <w:right w:val="dotted" w:sz="4" w:space="0" w:color="auto"/>
            </w:tcBorders>
            <w:shd w:val="clear" w:color="auto" w:fill="auto"/>
            <w:noWrap/>
            <w:vAlign w:val="center"/>
          </w:tcPr>
          <w:p w:rsidR="00880DB3" w:rsidRPr="00C64AE1" w:rsidRDefault="00880DB3" w:rsidP="00023874">
            <w:pPr>
              <w:spacing w:line="240" w:lineRule="exact"/>
              <w:jc w:val="center"/>
              <w:rPr>
                <w:rFonts w:ascii="Times New Roman" w:eastAsia="楷体" w:hAnsi="Times New Roman"/>
                <w:b/>
                <w:sz w:val="18"/>
                <w:szCs w:val="21"/>
              </w:rPr>
            </w:pPr>
            <w:r w:rsidRPr="00C64AE1">
              <w:rPr>
                <w:rFonts w:ascii="Times New Roman" w:eastAsia="楷体" w:hAnsi="Times New Roman" w:hint="eastAsia"/>
                <w:b/>
                <w:sz w:val="18"/>
                <w:szCs w:val="21"/>
              </w:rPr>
              <w:t>2007</w:t>
            </w:r>
            <w:r w:rsidRPr="00C64AE1">
              <w:rPr>
                <w:rFonts w:ascii="Times New Roman" w:eastAsia="楷体" w:hAnsi="楷体" w:hint="eastAsia"/>
                <w:b/>
                <w:sz w:val="18"/>
                <w:szCs w:val="21"/>
              </w:rPr>
              <w:t>年以来</w:t>
            </w:r>
          </w:p>
          <w:p w:rsidR="00880DB3" w:rsidRPr="00C64AE1" w:rsidRDefault="00880DB3" w:rsidP="00023874">
            <w:pPr>
              <w:jc w:val="center"/>
              <w:rPr>
                <w:rFonts w:ascii="Times New Roman" w:eastAsia="楷体" w:hAnsi="Times New Roman"/>
                <w:b/>
                <w:sz w:val="18"/>
                <w:szCs w:val="21"/>
              </w:rPr>
            </w:pPr>
            <w:r w:rsidRPr="00C64AE1">
              <w:rPr>
                <w:rFonts w:ascii="Times New Roman" w:eastAsia="楷体" w:hAnsi="楷体" w:hint="eastAsia"/>
                <w:b/>
                <w:sz w:val="18"/>
                <w:szCs w:val="21"/>
              </w:rPr>
              <w:t>年化对冲收益</w:t>
            </w:r>
          </w:p>
        </w:tc>
        <w:tc>
          <w:tcPr>
            <w:tcW w:w="975" w:type="pct"/>
            <w:tcBorders>
              <w:top w:val="single" w:sz="6" w:space="0" w:color="BE0000"/>
              <w:left w:val="dotted" w:sz="4" w:space="0" w:color="auto"/>
              <w:bottom w:val="single" w:sz="6" w:space="0" w:color="BE0000"/>
              <w:right w:val="dotted" w:sz="4" w:space="0" w:color="auto"/>
            </w:tcBorders>
            <w:shd w:val="clear" w:color="auto" w:fill="auto"/>
            <w:noWrap/>
            <w:vAlign w:val="center"/>
          </w:tcPr>
          <w:p w:rsidR="00880DB3" w:rsidRPr="00C64AE1" w:rsidRDefault="00880DB3" w:rsidP="00023874">
            <w:pPr>
              <w:jc w:val="center"/>
              <w:rPr>
                <w:rFonts w:ascii="Times New Roman" w:eastAsia="楷体" w:hAnsi="Times New Roman"/>
                <w:b/>
                <w:sz w:val="18"/>
                <w:szCs w:val="21"/>
              </w:rPr>
            </w:pPr>
            <w:r w:rsidRPr="00C64AE1">
              <w:rPr>
                <w:rFonts w:ascii="Times New Roman" w:eastAsia="楷体" w:hAnsi="Times New Roman" w:hint="eastAsia"/>
                <w:b/>
                <w:sz w:val="18"/>
                <w:szCs w:val="21"/>
              </w:rPr>
              <w:t>2018</w:t>
            </w:r>
            <w:r w:rsidRPr="00C64AE1">
              <w:rPr>
                <w:rFonts w:ascii="Times New Roman" w:eastAsia="楷体" w:hAnsi="楷体" w:hint="eastAsia"/>
                <w:b/>
                <w:sz w:val="18"/>
                <w:szCs w:val="21"/>
              </w:rPr>
              <w:t>收益</w:t>
            </w:r>
          </w:p>
        </w:tc>
        <w:tc>
          <w:tcPr>
            <w:tcW w:w="1066" w:type="pct"/>
            <w:tcBorders>
              <w:top w:val="single" w:sz="6" w:space="0" w:color="BE0000"/>
              <w:left w:val="dotted" w:sz="4" w:space="0" w:color="auto"/>
              <w:bottom w:val="single" w:sz="6" w:space="0" w:color="BE0000"/>
              <w:right w:val="dotted" w:sz="4" w:space="0" w:color="auto"/>
            </w:tcBorders>
            <w:vAlign w:val="center"/>
          </w:tcPr>
          <w:p w:rsidR="00880DB3" w:rsidRPr="00C64AE1" w:rsidRDefault="00880DB3" w:rsidP="00023874">
            <w:pPr>
              <w:spacing w:line="240" w:lineRule="exact"/>
              <w:jc w:val="center"/>
              <w:rPr>
                <w:rFonts w:ascii="Times New Roman" w:eastAsia="楷体" w:hAnsi="Times New Roman"/>
                <w:b/>
                <w:sz w:val="18"/>
                <w:szCs w:val="21"/>
              </w:rPr>
            </w:pPr>
            <w:r w:rsidRPr="00C64AE1">
              <w:rPr>
                <w:rFonts w:ascii="Times New Roman" w:eastAsia="楷体" w:hAnsi="Times New Roman" w:hint="eastAsia"/>
                <w:b/>
                <w:sz w:val="18"/>
                <w:szCs w:val="21"/>
              </w:rPr>
              <w:t>2007</w:t>
            </w:r>
            <w:r w:rsidRPr="00C64AE1">
              <w:rPr>
                <w:rFonts w:ascii="Times New Roman" w:eastAsia="楷体" w:hAnsi="楷体" w:hint="eastAsia"/>
                <w:b/>
                <w:sz w:val="18"/>
                <w:szCs w:val="21"/>
              </w:rPr>
              <w:t>年以来</w:t>
            </w:r>
          </w:p>
          <w:p w:rsidR="00880DB3" w:rsidRPr="00C64AE1" w:rsidRDefault="00880DB3" w:rsidP="00023874">
            <w:pPr>
              <w:jc w:val="center"/>
              <w:rPr>
                <w:rFonts w:ascii="Times New Roman" w:eastAsia="楷体" w:hAnsi="Times New Roman"/>
                <w:b/>
                <w:sz w:val="18"/>
                <w:szCs w:val="21"/>
              </w:rPr>
            </w:pPr>
            <w:r w:rsidRPr="00C64AE1">
              <w:rPr>
                <w:rFonts w:ascii="Times New Roman" w:eastAsia="楷体" w:hAnsi="楷体" w:hint="eastAsia"/>
                <w:b/>
                <w:sz w:val="18"/>
                <w:szCs w:val="21"/>
              </w:rPr>
              <w:t>年化多空收益</w:t>
            </w:r>
          </w:p>
        </w:tc>
      </w:tr>
      <w:tr w:rsidR="00880DB3" w:rsidRPr="00C64AE1" w:rsidTr="00023874">
        <w:trPr>
          <w:trHeight w:val="240"/>
          <w:jc w:val="right"/>
        </w:trPr>
        <w:tc>
          <w:tcPr>
            <w:tcW w:w="871" w:type="pct"/>
            <w:tcBorders>
              <w:top w:val="dotted" w:sz="4" w:space="0" w:color="auto"/>
              <w:left w:val="dotted" w:sz="4" w:space="0" w:color="auto"/>
              <w:bottom w:val="dotted" w:sz="4" w:space="0" w:color="auto"/>
              <w:right w:val="dotted" w:sz="4" w:space="0" w:color="auto"/>
            </w:tcBorders>
            <w:vAlign w:val="center"/>
          </w:tcPr>
          <w:p w:rsidR="00880DB3" w:rsidRPr="00C64AE1" w:rsidRDefault="00880DB3" w:rsidP="00023874">
            <w:pPr>
              <w:widowControl/>
              <w:jc w:val="center"/>
              <w:rPr>
                <w:rFonts w:ascii="Times New Roman" w:eastAsia="楷体" w:hAnsi="Times New Roman"/>
                <w:kern w:val="0"/>
                <w:sz w:val="22"/>
              </w:rPr>
            </w:pPr>
            <w:r w:rsidRPr="00C64AE1">
              <w:rPr>
                <w:rFonts w:ascii="Times New Roman" w:eastAsia="楷体" w:hAnsi="楷体" w:hint="eastAsia"/>
                <w:sz w:val="22"/>
              </w:rPr>
              <w:t>规模</w:t>
            </w:r>
          </w:p>
        </w:tc>
        <w:tc>
          <w:tcPr>
            <w:tcW w:w="935"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25.34%</w:t>
            </w:r>
          </w:p>
        </w:tc>
        <w:tc>
          <w:tcPr>
            <w:tcW w:w="1152"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33.40%</w:t>
            </w:r>
          </w:p>
        </w:tc>
        <w:tc>
          <w:tcPr>
            <w:tcW w:w="975"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14.62%</w:t>
            </w:r>
          </w:p>
        </w:tc>
        <w:tc>
          <w:tcPr>
            <w:tcW w:w="1066" w:type="pct"/>
            <w:tcBorders>
              <w:top w:val="dotted" w:sz="4" w:space="0" w:color="auto"/>
              <w:left w:val="dotted" w:sz="4" w:space="0" w:color="auto"/>
              <w:bottom w:val="dotted" w:sz="4" w:space="0" w:color="auto"/>
              <w:right w:val="dotted" w:sz="4" w:space="0" w:color="auto"/>
            </w:tcBorders>
          </w:tcPr>
          <w:p w:rsidR="00880DB3" w:rsidRPr="00C64AE1" w:rsidRDefault="00880DB3" w:rsidP="00023874">
            <w:pPr>
              <w:jc w:val="center"/>
            </w:pPr>
            <w:r w:rsidRPr="00C64AE1">
              <w:t>35.87%</w:t>
            </w:r>
          </w:p>
        </w:tc>
      </w:tr>
      <w:tr w:rsidR="00880DB3" w:rsidRPr="00C64AE1" w:rsidTr="00023874">
        <w:trPr>
          <w:trHeight w:val="240"/>
          <w:jc w:val="right"/>
        </w:trPr>
        <w:tc>
          <w:tcPr>
            <w:tcW w:w="871" w:type="pct"/>
            <w:tcBorders>
              <w:top w:val="dotted" w:sz="4" w:space="0" w:color="auto"/>
              <w:left w:val="dotted" w:sz="4" w:space="0" w:color="auto"/>
              <w:bottom w:val="dotted" w:sz="4" w:space="0" w:color="auto"/>
              <w:right w:val="dotted" w:sz="4" w:space="0" w:color="auto"/>
            </w:tcBorders>
            <w:vAlign w:val="center"/>
          </w:tcPr>
          <w:p w:rsidR="00880DB3" w:rsidRPr="00C64AE1" w:rsidRDefault="00880DB3" w:rsidP="00023874">
            <w:pPr>
              <w:jc w:val="center"/>
              <w:rPr>
                <w:rFonts w:ascii="Times New Roman" w:eastAsia="楷体" w:hAnsi="Times New Roman"/>
                <w:sz w:val="22"/>
              </w:rPr>
            </w:pPr>
            <w:r w:rsidRPr="00C64AE1">
              <w:rPr>
                <w:rFonts w:ascii="Times New Roman" w:eastAsia="楷体" w:hAnsi="楷体" w:hint="eastAsia"/>
                <w:sz w:val="22"/>
              </w:rPr>
              <w:t>估值</w:t>
            </w:r>
          </w:p>
        </w:tc>
        <w:tc>
          <w:tcPr>
            <w:tcW w:w="935"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8.05%</w:t>
            </w:r>
          </w:p>
        </w:tc>
        <w:tc>
          <w:tcPr>
            <w:tcW w:w="1152"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11.34%</w:t>
            </w:r>
          </w:p>
        </w:tc>
        <w:tc>
          <w:tcPr>
            <w:tcW w:w="975"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14.05%</w:t>
            </w:r>
          </w:p>
        </w:tc>
        <w:tc>
          <w:tcPr>
            <w:tcW w:w="1066" w:type="pct"/>
            <w:tcBorders>
              <w:top w:val="dotted" w:sz="4" w:space="0" w:color="auto"/>
              <w:left w:val="dotted" w:sz="4" w:space="0" w:color="auto"/>
              <w:bottom w:val="dotted" w:sz="4" w:space="0" w:color="auto"/>
              <w:right w:val="dotted" w:sz="4" w:space="0" w:color="auto"/>
            </w:tcBorders>
          </w:tcPr>
          <w:p w:rsidR="00880DB3" w:rsidRPr="00C64AE1" w:rsidRDefault="00880DB3" w:rsidP="00023874">
            <w:pPr>
              <w:jc w:val="center"/>
            </w:pPr>
            <w:r w:rsidRPr="00C64AE1">
              <w:t>18.94%</w:t>
            </w:r>
          </w:p>
        </w:tc>
      </w:tr>
      <w:tr w:rsidR="00880DB3" w:rsidRPr="00C64AE1" w:rsidTr="00023874">
        <w:trPr>
          <w:trHeight w:val="240"/>
          <w:jc w:val="right"/>
        </w:trPr>
        <w:tc>
          <w:tcPr>
            <w:tcW w:w="871" w:type="pct"/>
            <w:tcBorders>
              <w:top w:val="dotted" w:sz="4" w:space="0" w:color="auto"/>
              <w:left w:val="dotted" w:sz="4" w:space="0" w:color="auto"/>
              <w:bottom w:val="dotted" w:sz="4" w:space="0" w:color="auto"/>
              <w:right w:val="dotted" w:sz="4" w:space="0" w:color="auto"/>
            </w:tcBorders>
            <w:vAlign w:val="center"/>
          </w:tcPr>
          <w:p w:rsidR="00880DB3" w:rsidRPr="00C64AE1" w:rsidRDefault="00880DB3" w:rsidP="00023874">
            <w:pPr>
              <w:jc w:val="center"/>
              <w:rPr>
                <w:rFonts w:ascii="Times New Roman" w:eastAsia="楷体" w:hAnsi="Times New Roman"/>
                <w:sz w:val="22"/>
              </w:rPr>
            </w:pPr>
            <w:r w:rsidRPr="00C64AE1">
              <w:rPr>
                <w:rFonts w:ascii="Times New Roman" w:eastAsia="楷体" w:hAnsi="楷体" w:hint="eastAsia"/>
                <w:sz w:val="22"/>
              </w:rPr>
              <w:t>盈利</w:t>
            </w:r>
          </w:p>
        </w:tc>
        <w:tc>
          <w:tcPr>
            <w:tcW w:w="935"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13.59%</w:t>
            </w:r>
          </w:p>
        </w:tc>
        <w:tc>
          <w:tcPr>
            <w:tcW w:w="1152"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8.56%</w:t>
            </w:r>
          </w:p>
        </w:tc>
        <w:tc>
          <w:tcPr>
            <w:tcW w:w="975"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17.39%</w:t>
            </w:r>
          </w:p>
        </w:tc>
        <w:tc>
          <w:tcPr>
            <w:tcW w:w="1066" w:type="pct"/>
            <w:tcBorders>
              <w:top w:val="dotted" w:sz="4" w:space="0" w:color="auto"/>
              <w:left w:val="dotted" w:sz="4" w:space="0" w:color="auto"/>
              <w:bottom w:val="dotted" w:sz="4" w:space="0" w:color="auto"/>
              <w:right w:val="dotted" w:sz="4" w:space="0" w:color="auto"/>
            </w:tcBorders>
          </w:tcPr>
          <w:p w:rsidR="00880DB3" w:rsidRPr="00C64AE1" w:rsidRDefault="00880DB3" w:rsidP="00023874">
            <w:pPr>
              <w:jc w:val="center"/>
            </w:pPr>
            <w:r w:rsidRPr="00C64AE1">
              <w:t>10.07%</w:t>
            </w:r>
          </w:p>
        </w:tc>
      </w:tr>
      <w:tr w:rsidR="00880DB3" w:rsidRPr="00C64AE1" w:rsidTr="00023874">
        <w:trPr>
          <w:trHeight w:val="240"/>
          <w:jc w:val="right"/>
        </w:trPr>
        <w:tc>
          <w:tcPr>
            <w:tcW w:w="871" w:type="pct"/>
            <w:tcBorders>
              <w:top w:val="dotted" w:sz="4" w:space="0" w:color="auto"/>
              <w:left w:val="dotted" w:sz="4" w:space="0" w:color="auto"/>
              <w:bottom w:val="dotted" w:sz="4" w:space="0" w:color="auto"/>
              <w:right w:val="dotted" w:sz="4" w:space="0" w:color="auto"/>
            </w:tcBorders>
            <w:vAlign w:val="center"/>
          </w:tcPr>
          <w:p w:rsidR="00880DB3" w:rsidRPr="00C64AE1" w:rsidRDefault="00880DB3" w:rsidP="00023874">
            <w:pPr>
              <w:jc w:val="center"/>
              <w:rPr>
                <w:rFonts w:ascii="Times New Roman" w:eastAsia="楷体" w:hAnsi="Times New Roman"/>
                <w:sz w:val="22"/>
              </w:rPr>
            </w:pPr>
            <w:r w:rsidRPr="00C64AE1">
              <w:rPr>
                <w:rFonts w:ascii="Times New Roman" w:eastAsia="楷体" w:hAnsi="楷体" w:hint="eastAsia"/>
                <w:sz w:val="22"/>
              </w:rPr>
              <w:t>成长</w:t>
            </w:r>
          </w:p>
        </w:tc>
        <w:tc>
          <w:tcPr>
            <w:tcW w:w="935"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6.75%</w:t>
            </w:r>
          </w:p>
        </w:tc>
        <w:tc>
          <w:tcPr>
            <w:tcW w:w="1152"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12.27%</w:t>
            </w:r>
          </w:p>
        </w:tc>
        <w:tc>
          <w:tcPr>
            <w:tcW w:w="975"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10.39%</w:t>
            </w:r>
          </w:p>
        </w:tc>
        <w:tc>
          <w:tcPr>
            <w:tcW w:w="1066" w:type="pct"/>
            <w:tcBorders>
              <w:top w:val="dotted" w:sz="4" w:space="0" w:color="auto"/>
              <w:left w:val="dotted" w:sz="4" w:space="0" w:color="auto"/>
              <w:bottom w:val="dotted" w:sz="4" w:space="0" w:color="auto"/>
              <w:right w:val="dotted" w:sz="4" w:space="0" w:color="auto"/>
            </w:tcBorders>
          </w:tcPr>
          <w:p w:rsidR="00880DB3" w:rsidRPr="00C64AE1" w:rsidRDefault="00880DB3" w:rsidP="00023874">
            <w:pPr>
              <w:jc w:val="center"/>
            </w:pPr>
            <w:r w:rsidRPr="00C64AE1">
              <w:t>13.58%</w:t>
            </w:r>
          </w:p>
        </w:tc>
      </w:tr>
      <w:tr w:rsidR="00880DB3" w:rsidRPr="00C64AE1" w:rsidTr="00023874">
        <w:trPr>
          <w:trHeight w:val="240"/>
          <w:jc w:val="right"/>
        </w:trPr>
        <w:tc>
          <w:tcPr>
            <w:tcW w:w="871" w:type="pct"/>
            <w:tcBorders>
              <w:top w:val="dotted" w:sz="4" w:space="0" w:color="auto"/>
              <w:left w:val="dotted" w:sz="4" w:space="0" w:color="auto"/>
              <w:bottom w:val="dotted" w:sz="4" w:space="0" w:color="auto"/>
              <w:right w:val="dotted" w:sz="4" w:space="0" w:color="auto"/>
            </w:tcBorders>
            <w:vAlign w:val="center"/>
          </w:tcPr>
          <w:p w:rsidR="00880DB3" w:rsidRPr="00C64AE1" w:rsidRDefault="00880DB3" w:rsidP="00023874">
            <w:pPr>
              <w:jc w:val="center"/>
              <w:rPr>
                <w:rFonts w:ascii="Times New Roman" w:eastAsia="楷体" w:hAnsi="Times New Roman"/>
                <w:sz w:val="22"/>
              </w:rPr>
            </w:pPr>
            <w:r w:rsidRPr="00C64AE1">
              <w:rPr>
                <w:rFonts w:ascii="Times New Roman" w:eastAsia="楷体" w:hAnsi="楷体" w:hint="eastAsia"/>
                <w:sz w:val="22"/>
              </w:rPr>
              <w:t>营运</w:t>
            </w:r>
          </w:p>
        </w:tc>
        <w:tc>
          <w:tcPr>
            <w:tcW w:w="935"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2.65%</w:t>
            </w:r>
          </w:p>
        </w:tc>
        <w:tc>
          <w:tcPr>
            <w:tcW w:w="1152"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2.98%</w:t>
            </w:r>
          </w:p>
        </w:tc>
        <w:tc>
          <w:tcPr>
            <w:tcW w:w="975"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2.04%</w:t>
            </w:r>
          </w:p>
        </w:tc>
        <w:tc>
          <w:tcPr>
            <w:tcW w:w="1066" w:type="pct"/>
            <w:tcBorders>
              <w:top w:val="dotted" w:sz="4" w:space="0" w:color="auto"/>
              <w:left w:val="dotted" w:sz="4" w:space="0" w:color="auto"/>
              <w:bottom w:val="dotted" w:sz="4" w:space="0" w:color="auto"/>
              <w:right w:val="dotted" w:sz="4" w:space="0" w:color="auto"/>
            </w:tcBorders>
          </w:tcPr>
          <w:p w:rsidR="00880DB3" w:rsidRPr="00C64AE1" w:rsidRDefault="00880DB3" w:rsidP="00023874">
            <w:pPr>
              <w:jc w:val="center"/>
            </w:pPr>
            <w:r w:rsidRPr="00C64AE1">
              <w:t>-2.63%</w:t>
            </w:r>
          </w:p>
        </w:tc>
      </w:tr>
      <w:tr w:rsidR="00880DB3" w:rsidRPr="00C64AE1" w:rsidTr="00023874">
        <w:trPr>
          <w:trHeight w:val="240"/>
          <w:jc w:val="right"/>
        </w:trPr>
        <w:tc>
          <w:tcPr>
            <w:tcW w:w="871" w:type="pct"/>
            <w:tcBorders>
              <w:top w:val="dotted" w:sz="4" w:space="0" w:color="auto"/>
              <w:left w:val="dotted" w:sz="4" w:space="0" w:color="auto"/>
              <w:bottom w:val="dotted" w:sz="4" w:space="0" w:color="auto"/>
              <w:right w:val="dotted" w:sz="4" w:space="0" w:color="auto"/>
            </w:tcBorders>
            <w:vAlign w:val="center"/>
          </w:tcPr>
          <w:p w:rsidR="00880DB3" w:rsidRPr="00C64AE1" w:rsidRDefault="00880DB3" w:rsidP="00023874">
            <w:pPr>
              <w:jc w:val="center"/>
              <w:rPr>
                <w:rFonts w:ascii="Times New Roman" w:eastAsia="楷体" w:hAnsi="Times New Roman"/>
                <w:sz w:val="22"/>
              </w:rPr>
            </w:pPr>
            <w:r w:rsidRPr="00C64AE1">
              <w:rPr>
                <w:rFonts w:ascii="Times New Roman" w:eastAsia="楷体" w:hAnsi="楷体" w:hint="eastAsia"/>
                <w:sz w:val="22"/>
              </w:rPr>
              <w:t>反转</w:t>
            </w:r>
          </w:p>
        </w:tc>
        <w:tc>
          <w:tcPr>
            <w:tcW w:w="935"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7.35%</w:t>
            </w:r>
          </w:p>
        </w:tc>
        <w:tc>
          <w:tcPr>
            <w:tcW w:w="1152"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13.71%</w:t>
            </w:r>
          </w:p>
        </w:tc>
        <w:tc>
          <w:tcPr>
            <w:tcW w:w="975"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21.20%</w:t>
            </w:r>
          </w:p>
        </w:tc>
        <w:tc>
          <w:tcPr>
            <w:tcW w:w="1066" w:type="pct"/>
            <w:tcBorders>
              <w:top w:val="dotted" w:sz="4" w:space="0" w:color="auto"/>
              <w:left w:val="dotted" w:sz="4" w:space="0" w:color="auto"/>
              <w:bottom w:val="dotted" w:sz="4" w:space="0" w:color="auto"/>
              <w:right w:val="dotted" w:sz="4" w:space="0" w:color="auto"/>
            </w:tcBorders>
          </w:tcPr>
          <w:p w:rsidR="00880DB3" w:rsidRPr="00C64AE1" w:rsidRDefault="00880DB3" w:rsidP="00023874">
            <w:pPr>
              <w:jc w:val="center"/>
            </w:pPr>
            <w:r w:rsidRPr="00C64AE1">
              <w:t>32.33%</w:t>
            </w:r>
          </w:p>
        </w:tc>
      </w:tr>
      <w:tr w:rsidR="00880DB3" w:rsidRPr="00C64AE1" w:rsidTr="00023874">
        <w:trPr>
          <w:trHeight w:val="240"/>
          <w:jc w:val="right"/>
        </w:trPr>
        <w:tc>
          <w:tcPr>
            <w:tcW w:w="871" w:type="pct"/>
            <w:tcBorders>
              <w:top w:val="dotted" w:sz="4" w:space="0" w:color="auto"/>
              <w:left w:val="dotted" w:sz="4" w:space="0" w:color="auto"/>
              <w:bottom w:val="dotted" w:sz="4" w:space="0" w:color="auto"/>
              <w:right w:val="dotted" w:sz="4" w:space="0" w:color="auto"/>
            </w:tcBorders>
            <w:vAlign w:val="center"/>
          </w:tcPr>
          <w:p w:rsidR="00880DB3" w:rsidRPr="00C64AE1" w:rsidRDefault="00880DB3" w:rsidP="00023874">
            <w:pPr>
              <w:jc w:val="center"/>
              <w:rPr>
                <w:rFonts w:ascii="Times New Roman" w:eastAsia="楷体" w:hAnsi="Times New Roman"/>
                <w:sz w:val="22"/>
              </w:rPr>
            </w:pPr>
            <w:r w:rsidRPr="00C64AE1">
              <w:rPr>
                <w:rFonts w:ascii="Times New Roman" w:eastAsia="楷体" w:hAnsi="楷体" w:hint="eastAsia"/>
                <w:sz w:val="22"/>
              </w:rPr>
              <w:t>流动性</w:t>
            </w:r>
          </w:p>
        </w:tc>
        <w:tc>
          <w:tcPr>
            <w:tcW w:w="935"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12.25%</w:t>
            </w:r>
          </w:p>
        </w:tc>
        <w:tc>
          <w:tcPr>
            <w:tcW w:w="1152"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14.92%</w:t>
            </w:r>
          </w:p>
        </w:tc>
        <w:tc>
          <w:tcPr>
            <w:tcW w:w="975" w:type="pct"/>
            <w:tcBorders>
              <w:top w:val="dotted" w:sz="4" w:space="0" w:color="auto"/>
              <w:left w:val="dotted" w:sz="4" w:space="0" w:color="auto"/>
              <w:bottom w:val="dotted" w:sz="4" w:space="0" w:color="auto"/>
              <w:right w:val="dotted" w:sz="4" w:space="0" w:color="auto"/>
            </w:tcBorders>
            <w:shd w:val="clear" w:color="auto" w:fill="auto"/>
            <w:noWrap/>
          </w:tcPr>
          <w:p w:rsidR="00880DB3" w:rsidRPr="00C64AE1" w:rsidRDefault="00880DB3" w:rsidP="00023874">
            <w:pPr>
              <w:jc w:val="center"/>
            </w:pPr>
            <w:r w:rsidRPr="00C64AE1">
              <w:t>23.86%</w:t>
            </w:r>
          </w:p>
        </w:tc>
        <w:tc>
          <w:tcPr>
            <w:tcW w:w="1066" w:type="pct"/>
            <w:tcBorders>
              <w:top w:val="dotted" w:sz="4" w:space="0" w:color="auto"/>
              <w:left w:val="dotted" w:sz="4" w:space="0" w:color="auto"/>
              <w:bottom w:val="dotted" w:sz="4" w:space="0" w:color="auto"/>
              <w:right w:val="dotted" w:sz="4" w:space="0" w:color="auto"/>
            </w:tcBorders>
          </w:tcPr>
          <w:p w:rsidR="00880DB3" w:rsidRPr="00C64AE1" w:rsidRDefault="00880DB3" w:rsidP="00023874">
            <w:pPr>
              <w:jc w:val="center"/>
            </w:pPr>
            <w:r w:rsidRPr="00C64AE1">
              <w:t>27.21%</w:t>
            </w:r>
          </w:p>
        </w:tc>
      </w:tr>
      <w:tr w:rsidR="00880DB3" w:rsidRPr="00C64AE1" w:rsidTr="00023874">
        <w:trPr>
          <w:trHeight w:val="240"/>
          <w:jc w:val="right"/>
        </w:trPr>
        <w:tc>
          <w:tcPr>
            <w:tcW w:w="871" w:type="pct"/>
            <w:tcBorders>
              <w:top w:val="dotted" w:sz="4" w:space="0" w:color="auto"/>
              <w:left w:val="dotted" w:sz="4" w:space="0" w:color="auto"/>
              <w:bottom w:val="single" w:sz="12" w:space="0" w:color="C00000"/>
              <w:right w:val="dotted" w:sz="4" w:space="0" w:color="auto"/>
            </w:tcBorders>
            <w:vAlign w:val="center"/>
          </w:tcPr>
          <w:p w:rsidR="00880DB3" w:rsidRPr="00C64AE1" w:rsidRDefault="00880DB3" w:rsidP="00023874">
            <w:pPr>
              <w:jc w:val="center"/>
              <w:rPr>
                <w:rFonts w:ascii="Times New Roman" w:eastAsia="楷体" w:hAnsi="Times New Roman"/>
                <w:sz w:val="22"/>
              </w:rPr>
            </w:pPr>
            <w:r w:rsidRPr="00C64AE1">
              <w:rPr>
                <w:rFonts w:ascii="Times New Roman" w:eastAsia="楷体" w:hAnsi="楷体" w:hint="eastAsia"/>
                <w:sz w:val="22"/>
              </w:rPr>
              <w:t>波动率</w:t>
            </w:r>
          </w:p>
        </w:tc>
        <w:tc>
          <w:tcPr>
            <w:tcW w:w="935" w:type="pct"/>
            <w:tcBorders>
              <w:top w:val="dotted" w:sz="4" w:space="0" w:color="auto"/>
              <w:left w:val="dotted" w:sz="4" w:space="0" w:color="auto"/>
              <w:bottom w:val="single" w:sz="12" w:space="0" w:color="C00000"/>
              <w:right w:val="dotted" w:sz="4" w:space="0" w:color="auto"/>
            </w:tcBorders>
            <w:shd w:val="clear" w:color="auto" w:fill="auto"/>
            <w:noWrap/>
          </w:tcPr>
          <w:p w:rsidR="00880DB3" w:rsidRPr="00C64AE1" w:rsidRDefault="00880DB3" w:rsidP="00023874">
            <w:pPr>
              <w:jc w:val="center"/>
            </w:pPr>
            <w:r w:rsidRPr="00C64AE1">
              <w:t>10.66%</w:t>
            </w:r>
          </w:p>
        </w:tc>
        <w:tc>
          <w:tcPr>
            <w:tcW w:w="1152" w:type="pct"/>
            <w:tcBorders>
              <w:top w:val="dotted" w:sz="4" w:space="0" w:color="auto"/>
              <w:left w:val="dotted" w:sz="4" w:space="0" w:color="auto"/>
              <w:bottom w:val="single" w:sz="12" w:space="0" w:color="C00000"/>
              <w:right w:val="dotted" w:sz="4" w:space="0" w:color="auto"/>
            </w:tcBorders>
            <w:shd w:val="clear" w:color="auto" w:fill="auto"/>
            <w:noWrap/>
          </w:tcPr>
          <w:p w:rsidR="00880DB3" w:rsidRPr="00C64AE1" w:rsidRDefault="00880DB3" w:rsidP="00023874">
            <w:pPr>
              <w:jc w:val="center"/>
            </w:pPr>
            <w:r w:rsidRPr="00C64AE1">
              <w:t>15.02%</w:t>
            </w:r>
          </w:p>
        </w:tc>
        <w:tc>
          <w:tcPr>
            <w:tcW w:w="975" w:type="pct"/>
            <w:tcBorders>
              <w:top w:val="dotted" w:sz="4" w:space="0" w:color="auto"/>
              <w:left w:val="dotted" w:sz="4" w:space="0" w:color="auto"/>
              <w:bottom w:val="single" w:sz="12" w:space="0" w:color="C00000"/>
              <w:right w:val="dotted" w:sz="4" w:space="0" w:color="auto"/>
            </w:tcBorders>
            <w:shd w:val="clear" w:color="auto" w:fill="auto"/>
            <w:noWrap/>
          </w:tcPr>
          <w:p w:rsidR="00880DB3" w:rsidRPr="00C64AE1" w:rsidRDefault="00880DB3" w:rsidP="00023874">
            <w:pPr>
              <w:jc w:val="center"/>
            </w:pPr>
            <w:r w:rsidRPr="00C64AE1">
              <w:t>27.90%</w:t>
            </w:r>
          </w:p>
        </w:tc>
        <w:tc>
          <w:tcPr>
            <w:tcW w:w="1066" w:type="pct"/>
            <w:tcBorders>
              <w:top w:val="dotted" w:sz="4" w:space="0" w:color="auto"/>
              <w:left w:val="dotted" w:sz="4" w:space="0" w:color="auto"/>
              <w:bottom w:val="single" w:sz="12" w:space="0" w:color="C00000"/>
              <w:right w:val="dotted" w:sz="4" w:space="0" w:color="auto"/>
            </w:tcBorders>
          </w:tcPr>
          <w:p w:rsidR="00880DB3" w:rsidRPr="00C64AE1" w:rsidRDefault="00880DB3" w:rsidP="00023874">
            <w:pPr>
              <w:jc w:val="center"/>
            </w:pPr>
            <w:r w:rsidRPr="00C64AE1">
              <w:t>30.31%</w:t>
            </w:r>
          </w:p>
        </w:tc>
      </w:tr>
    </w:tbl>
    <w:p w:rsidR="00880DB3" w:rsidRPr="00C64AE1" w:rsidRDefault="00880DB3" w:rsidP="00880DB3">
      <w:pPr>
        <w:widowControl/>
        <w:spacing w:line="312" w:lineRule="auto"/>
        <w:ind w:firstLineChars="1400" w:firstLine="2800"/>
        <w:jc w:val="left"/>
        <w:rPr>
          <w:rFonts w:ascii="楷体" w:eastAsia="楷体" w:hAnsi="楷体" w:cs="Times New Roman"/>
          <w:sz w:val="20"/>
          <w:szCs w:val="20"/>
        </w:rPr>
      </w:pPr>
      <w:r w:rsidRPr="00C64AE1">
        <w:rPr>
          <w:rFonts w:ascii="楷体" w:eastAsia="楷体" w:hAnsi="楷体" w:cs="Times New Roman" w:hint="eastAsia"/>
          <w:sz w:val="20"/>
          <w:szCs w:val="20"/>
        </w:rPr>
        <w:t>资料来源：Wind、中山证券研究所</w:t>
      </w:r>
    </w:p>
    <w:p w:rsidR="00880DB3" w:rsidRPr="00C64AE1" w:rsidRDefault="00880DB3"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研究发现：2018年以来，规模、盈利等因子表现相对较强，其中，规模因子的对冲收益达25.34%、盈利营子13.59%，营运、成长因子表现相对较差，营运因子仅2.65%的收益。从多空收益看，波动率、流动性因子表现相对强劲，其中波动率因子多空收益高达27.90%。但规模、盈利等因子在2018年的年化市场表现，远逊于历史水平。</w:t>
      </w:r>
    </w:p>
    <w:p w:rsidR="00880DB3" w:rsidRPr="00C64AE1" w:rsidRDefault="00880DB3"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从长期看，自2007年以来，规模、反转、流动性与波动率因子相对较强，年化收益最高为规模因子，达33.00%。多空收益方面，规模与反转因子相差无几，多空年化收益超32%；而营运因子表现远弱于其他因子。</w:t>
      </w:r>
    </w:p>
    <w:p w:rsidR="003D38D7" w:rsidRPr="00C64AE1" w:rsidRDefault="003D38D7" w:rsidP="00446770">
      <w:pPr>
        <w:widowControl/>
        <w:numPr>
          <w:ilvl w:val="1"/>
          <w:numId w:val="0"/>
        </w:numPr>
        <w:spacing w:beforeLines="50" w:line="360" w:lineRule="auto"/>
        <w:ind w:leftChars="1200" w:left="3026" w:hangingChars="180" w:hanging="506"/>
        <w:outlineLvl w:val="1"/>
        <w:rPr>
          <w:rFonts w:ascii="楷体" w:eastAsia="楷体" w:hAnsi="楷体" w:cs="Times New Roman"/>
          <w:b/>
          <w:sz w:val="28"/>
        </w:rPr>
      </w:pPr>
      <w:r w:rsidRPr="00C64AE1">
        <w:rPr>
          <w:rFonts w:ascii="楷体" w:eastAsia="楷体" w:hAnsi="楷体" w:cs="Times New Roman" w:hint="eastAsia"/>
          <w:b/>
          <w:sz w:val="28"/>
        </w:rPr>
        <w:t>1</w:t>
      </w:r>
      <w:r w:rsidRPr="00C64AE1">
        <w:rPr>
          <w:rFonts w:ascii="楷体" w:eastAsia="楷体" w:hAnsi="楷体" w:cs="Times New Roman"/>
          <w:b/>
          <w:sz w:val="28"/>
        </w:rPr>
        <w:t>.</w:t>
      </w:r>
      <w:r w:rsidR="00582D07" w:rsidRPr="00C64AE1">
        <w:rPr>
          <w:rFonts w:ascii="楷体" w:eastAsia="楷体" w:hAnsi="楷体" w:cs="Times New Roman" w:hint="eastAsia"/>
          <w:b/>
          <w:sz w:val="28"/>
        </w:rPr>
        <w:t>6</w:t>
      </w:r>
      <w:r w:rsidRPr="00C64AE1">
        <w:rPr>
          <w:rFonts w:ascii="楷体" w:eastAsia="楷体" w:hAnsi="楷体" w:cs="Times New Roman"/>
          <w:b/>
          <w:sz w:val="28"/>
        </w:rPr>
        <w:t xml:space="preserve"> </w:t>
      </w:r>
      <w:r w:rsidR="007A6F1B" w:rsidRPr="00C64AE1">
        <w:rPr>
          <w:rFonts w:ascii="楷体" w:eastAsia="楷体" w:hAnsi="楷体" w:cs="Times New Roman" w:hint="eastAsia"/>
          <w:b/>
          <w:sz w:val="28"/>
        </w:rPr>
        <w:t>产品</w:t>
      </w:r>
      <w:r w:rsidR="006230F7" w:rsidRPr="00C64AE1">
        <w:rPr>
          <w:rFonts w:ascii="楷体" w:eastAsia="楷体" w:hAnsi="楷体" w:cs="Times New Roman" w:hint="eastAsia"/>
          <w:b/>
          <w:sz w:val="28"/>
        </w:rPr>
        <w:t>研发与</w:t>
      </w:r>
      <w:r w:rsidR="007A6F1B" w:rsidRPr="00C64AE1">
        <w:rPr>
          <w:rFonts w:ascii="楷体" w:eastAsia="楷体" w:hAnsi="楷体" w:cs="Times New Roman" w:hint="eastAsia"/>
          <w:b/>
          <w:sz w:val="28"/>
        </w:rPr>
        <w:t>业绩分析</w:t>
      </w:r>
      <w:bookmarkEnd w:id="22"/>
    </w:p>
    <w:p w:rsidR="00F24122" w:rsidRPr="00C64AE1" w:rsidRDefault="00F24122" w:rsidP="00446770">
      <w:pPr>
        <w:widowControl/>
        <w:numPr>
          <w:ilvl w:val="2"/>
          <w:numId w:val="0"/>
        </w:numPr>
        <w:spacing w:afterLines="50" w:line="360" w:lineRule="auto"/>
        <w:ind w:leftChars="1200" w:left="3122" w:hangingChars="250" w:hanging="602"/>
        <w:outlineLvl w:val="2"/>
        <w:rPr>
          <w:rFonts w:ascii="楷体" w:eastAsia="楷体" w:hAnsi="楷体" w:cs="Times New Roman"/>
          <w:b/>
          <w:sz w:val="24"/>
        </w:rPr>
      </w:pPr>
      <w:bookmarkStart w:id="27" w:name="_Toc531856906"/>
      <w:r w:rsidRPr="00C64AE1">
        <w:rPr>
          <w:rFonts w:ascii="楷体" w:eastAsia="楷体" w:hAnsi="楷体" w:cs="Times New Roman" w:hint="eastAsia"/>
          <w:b/>
          <w:sz w:val="24"/>
        </w:rPr>
        <w:t>1.6.1 智能产品稳健运行，高</w:t>
      </w:r>
      <w:r w:rsidR="007B5904" w:rsidRPr="00C64AE1">
        <w:rPr>
          <w:rFonts w:ascii="楷体" w:eastAsia="楷体" w:hAnsi="楷体" w:cs="Times New Roman" w:hint="eastAsia"/>
          <w:b/>
          <w:sz w:val="24"/>
        </w:rPr>
        <w:t>收益</w:t>
      </w:r>
      <w:r w:rsidRPr="00C64AE1">
        <w:rPr>
          <w:rFonts w:ascii="楷体" w:eastAsia="楷体" w:hAnsi="楷体" w:cs="Times New Roman" w:hint="eastAsia"/>
          <w:b/>
          <w:sz w:val="24"/>
        </w:rPr>
        <w:t>、低</w:t>
      </w:r>
      <w:r w:rsidR="007B5904" w:rsidRPr="00C64AE1">
        <w:rPr>
          <w:rFonts w:ascii="楷体" w:eastAsia="楷体" w:hAnsi="楷体" w:cs="Times New Roman" w:hint="eastAsia"/>
          <w:b/>
          <w:sz w:val="24"/>
        </w:rPr>
        <w:t>风险</w:t>
      </w:r>
      <w:r w:rsidRPr="00C64AE1">
        <w:rPr>
          <w:rFonts w:ascii="楷体" w:eastAsia="楷体" w:hAnsi="楷体" w:cs="Times New Roman" w:hint="eastAsia"/>
          <w:b/>
          <w:sz w:val="24"/>
        </w:rPr>
        <w:t>特征明显</w:t>
      </w:r>
      <w:bookmarkEnd w:id="27"/>
    </w:p>
    <w:p w:rsidR="005C1B84" w:rsidRPr="00C64AE1" w:rsidRDefault="009F3F38"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自201</w:t>
      </w:r>
      <w:r w:rsidR="00AC55B5" w:rsidRPr="00C64AE1">
        <w:rPr>
          <w:rFonts w:ascii="楷体" w:eastAsia="楷体" w:hAnsi="楷体" w:cs="Times New Roman" w:hint="eastAsia"/>
        </w:rPr>
        <w:t>7</w:t>
      </w:r>
      <w:r w:rsidRPr="00C64AE1">
        <w:rPr>
          <w:rFonts w:ascii="楷体" w:eastAsia="楷体" w:hAnsi="楷体" w:cs="Times New Roman" w:hint="eastAsia"/>
        </w:rPr>
        <w:t>年以来，中山</w:t>
      </w:r>
      <w:r w:rsidR="00BB0E63" w:rsidRPr="00C64AE1">
        <w:rPr>
          <w:rFonts w:ascii="楷体" w:eastAsia="楷体" w:hAnsi="楷体" w:cs="Times New Roman" w:hint="eastAsia"/>
        </w:rPr>
        <w:t>研究所</w:t>
      </w:r>
      <w:r w:rsidRPr="00C64AE1">
        <w:rPr>
          <w:rFonts w:ascii="楷体" w:eastAsia="楷体" w:hAnsi="楷体" w:cs="Times New Roman" w:hint="eastAsia"/>
        </w:rPr>
        <w:t>金</w:t>
      </w:r>
      <w:r w:rsidR="00EF4C37" w:rsidRPr="00C64AE1">
        <w:rPr>
          <w:rFonts w:ascii="楷体" w:eastAsia="楷体" w:hAnsi="楷体" w:cs="Times New Roman" w:hint="eastAsia"/>
        </w:rPr>
        <w:t>融</w:t>
      </w:r>
      <w:r w:rsidRPr="00C64AE1">
        <w:rPr>
          <w:rFonts w:ascii="楷体" w:eastAsia="楷体" w:hAnsi="楷体" w:cs="Times New Roman" w:hint="eastAsia"/>
        </w:rPr>
        <w:t>工</w:t>
      </w:r>
      <w:r w:rsidR="00EF4C37" w:rsidRPr="00C64AE1">
        <w:rPr>
          <w:rFonts w:ascii="楷体" w:eastAsia="楷体" w:hAnsi="楷体" w:cs="Times New Roman" w:hint="eastAsia"/>
        </w:rPr>
        <w:t>程</w:t>
      </w:r>
      <w:r w:rsidRPr="00C64AE1">
        <w:rPr>
          <w:rFonts w:ascii="楷体" w:eastAsia="楷体" w:hAnsi="楷体" w:cs="Times New Roman" w:hint="eastAsia"/>
        </w:rPr>
        <w:t>组</w:t>
      </w:r>
      <w:r w:rsidR="006261D4" w:rsidRPr="00C64AE1">
        <w:rPr>
          <w:rFonts w:ascii="楷体" w:eastAsia="楷体" w:hAnsi="楷体" w:cs="Times New Roman" w:hint="eastAsia"/>
        </w:rPr>
        <w:t>已形成有层次的产品研发团队，</w:t>
      </w:r>
      <w:r w:rsidRPr="00C64AE1">
        <w:rPr>
          <w:rFonts w:ascii="楷体" w:eastAsia="楷体" w:hAnsi="楷体" w:cs="Times New Roman" w:hint="eastAsia"/>
        </w:rPr>
        <w:t>先后研发</w:t>
      </w:r>
      <w:r w:rsidR="00D05EE4" w:rsidRPr="00C64AE1">
        <w:rPr>
          <w:rFonts w:ascii="楷体" w:eastAsia="楷体" w:hAnsi="楷体" w:cs="Times New Roman" w:hint="eastAsia"/>
        </w:rPr>
        <w:t>出</w:t>
      </w:r>
      <w:r w:rsidR="00AC55B5" w:rsidRPr="00C64AE1">
        <w:rPr>
          <w:rFonts w:ascii="楷体" w:eastAsia="楷体" w:hAnsi="楷体" w:cs="Times New Roman" w:hint="eastAsia"/>
        </w:rPr>
        <w:t>分析师声誉评估系统、</w:t>
      </w:r>
      <w:r w:rsidRPr="00C64AE1">
        <w:rPr>
          <w:rFonts w:ascii="楷体" w:eastAsia="楷体" w:hAnsi="楷体" w:cs="Times New Roman" w:hint="eastAsia"/>
        </w:rPr>
        <w:t>智能稳健1号组合、择时系统</w:t>
      </w:r>
      <w:r w:rsidR="00C25CE9" w:rsidRPr="00C64AE1">
        <w:rPr>
          <w:rFonts w:ascii="楷体" w:eastAsia="楷体" w:hAnsi="楷体" w:cs="Times New Roman" w:hint="eastAsia"/>
        </w:rPr>
        <w:t>、</w:t>
      </w:r>
      <w:r w:rsidR="001C0184" w:rsidRPr="00C64AE1">
        <w:rPr>
          <w:rFonts w:ascii="楷体" w:eastAsia="楷体" w:hAnsi="楷体" w:cs="Times New Roman" w:hint="eastAsia"/>
        </w:rPr>
        <w:t>多因子对冲</w:t>
      </w:r>
      <w:r w:rsidR="00C25CE9" w:rsidRPr="00C64AE1">
        <w:rPr>
          <w:rFonts w:ascii="楷体" w:eastAsia="楷体" w:hAnsi="楷体" w:cs="Times New Roman" w:hint="eastAsia"/>
        </w:rPr>
        <w:t>与指数增强等策略</w:t>
      </w:r>
      <w:r w:rsidR="00EF4C37" w:rsidRPr="00C64AE1">
        <w:rPr>
          <w:rFonts w:ascii="楷体" w:eastAsia="楷体" w:hAnsi="楷体" w:cs="Times New Roman" w:hint="eastAsia"/>
        </w:rPr>
        <w:t>，目前已基本形成多品种、多策略、多方向的产品体系</w:t>
      </w:r>
      <w:r w:rsidR="00D05EE4" w:rsidRPr="00C64AE1">
        <w:rPr>
          <w:rFonts w:ascii="楷体" w:eastAsia="楷体" w:hAnsi="楷体" w:cs="Times New Roman" w:hint="eastAsia"/>
        </w:rPr>
        <w:t>与产品团队</w:t>
      </w:r>
      <w:r w:rsidRPr="00C64AE1">
        <w:rPr>
          <w:rFonts w:ascii="楷体" w:eastAsia="楷体" w:hAnsi="楷体" w:cs="Times New Roman" w:hint="eastAsia"/>
        </w:rPr>
        <w:t>。</w:t>
      </w:r>
    </w:p>
    <w:tbl>
      <w:tblPr>
        <w:tblW w:w="8080" w:type="dxa"/>
        <w:jc w:val="right"/>
        <w:tblInd w:w="1276" w:type="dxa"/>
        <w:tblBorders>
          <w:insideH w:val="double" w:sz="4" w:space="0" w:color="333399"/>
          <w:insideV w:val="double" w:sz="4" w:space="0" w:color="333399"/>
        </w:tblBorders>
        <w:tblLayout w:type="fixed"/>
        <w:tblCellMar>
          <w:left w:w="0" w:type="dxa"/>
          <w:right w:w="0" w:type="dxa"/>
        </w:tblCellMar>
        <w:tblLook w:val="04A0"/>
      </w:tblPr>
      <w:tblGrid>
        <w:gridCol w:w="8080"/>
      </w:tblGrid>
      <w:tr w:rsidR="00921BFB" w:rsidRPr="00C64AE1" w:rsidTr="00921BFB">
        <w:trPr>
          <w:trHeight w:val="343"/>
          <w:jc w:val="right"/>
        </w:trPr>
        <w:tc>
          <w:tcPr>
            <w:tcW w:w="8080" w:type="dxa"/>
            <w:tcBorders>
              <w:top w:val="nil"/>
              <w:bottom w:val="single" w:sz="12" w:space="0" w:color="CC0000"/>
            </w:tcBorders>
            <w:shd w:val="clear" w:color="auto" w:fill="auto"/>
            <w:vAlign w:val="bottom"/>
          </w:tcPr>
          <w:p w:rsidR="00921BFB" w:rsidRPr="00C64AE1" w:rsidRDefault="00921BFB" w:rsidP="0066516C">
            <w:pPr>
              <w:keepLines/>
              <w:rPr>
                <w:rFonts w:ascii="楷体" w:eastAsia="楷体" w:hAnsi="楷体" w:cs="Times New Roman"/>
                <w:sz w:val="20"/>
                <w:szCs w:val="20"/>
              </w:rPr>
            </w:pPr>
            <w:r w:rsidRPr="00C64AE1">
              <w:rPr>
                <w:rFonts w:ascii="楷体" w:eastAsia="楷体" w:hAnsi="楷体" w:cs="Times New Roman"/>
                <w:sz w:val="20"/>
                <w:szCs w:val="20"/>
              </w:rPr>
              <w:t>图</w:t>
            </w:r>
            <w:r w:rsidRPr="00C64AE1">
              <w:rPr>
                <w:rFonts w:ascii="楷体" w:eastAsia="楷体" w:hAnsi="楷体" w:cs="Times New Roman" w:hint="eastAsia"/>
                <w:sz w:val="20"/>
                <w:szCs w:val="20"/>
              </w:rPr>
              <w:t>1</w:t>
            </w:r>
            <w:r w:rsidR="000A5FE0" w:rsidRPr="00C64AE1">
              <w:rPr>
                <w:rFonts w:ascii="楷体" w:eastAsia="楷体" w:hAnsi="楷体" w:cs="Times New Roman" w:hint="eastAsia"/>
                <w:sz w:val="20"/>
                <w:szCs w:val="20"/>
              </w:rPr>
              <w:t>7</w:t>
            </w:r>
            <w:r w:rsidRPr="00C64AE1">
              <w:rPr>
                <w:rFonts w:ascii="楷体" w:eastAsia="楷体" w:hAnsi="楷体" w:cs="Times New Roman"/>
                <w:sz w:val="20"/>
                <w:szCs w:val="20"/>
              </w:rPr>
              <w:t xml:space="preserve"> </w:t>
            </w:r>
            <w:r w:rsidRPr="00C64AE1">
              <w:rPr>
                <w:rFonts w:ascii="楷体" w:eastAsia="楷体" w:hAnsi="楷体" w:cs="Times New Roman" w:hint="eastAsia"/>
                <w:sz w:val="20"/>
                <w:szCs w:val="20"/>
              </w:rPr>
              <w:t>（2018年以来，</w:t>
            </w:r>
            <w:r w:rsidR="0066516C" w:rsidRPr="00C64AE1">
              <w:rPr>
                <w:rFonts w:ascii="楷体" w:eastAsia="楷体" w:hAnsi="楷体" w:cs="Times New Roman" w:hint="eastAsia"/>
                <w:sz w:val="20"/>
                <w:szCs w:val="20"/>
              </w:rPr>
              <w:t>智能稳健组合产品的净值</w:t>
            </w:r>
            <w:r w:rsidRPr="00C64AE1">
              <w:rPr>
                <w:rFonts w:ascii="楷体" w:eastAsia="楷体" w:hAnsi="楷体" w:cs="Times New Roman" w:hint="eastAsia"/>
                <w:sz w:val="20"/>
                <w:szCs w:val="20"/>
              </w:rPr>
              <w:t>趋势图）</w:t>
            </w:r>
          </w:p>
        </w:tc>
      </w:tr>
      <w:tr w:rsidR="00921BFB" w:rsidRPr="00C64AE1" w:rsidTr="00921BFB">
        <w:tblPrEx>
          <w:tblCellMar>
            <w:left w:w="108" w:type="dxa"/>
            <w:right w:w="108" w:type="dxa"/>
          </w:tblCellMar>
        </w:tblPrEx>
        <w:trPr>
          <w:trHeight w:hRule="exact" w:val="3855"/>
          <w:jc w:val="right"/>
        </w:trPr>
        <w:tc>
          <w:tcPr>
            <w:tcW w:w="8080" w:type="dxa"/>
            <w:tcBorders>
              <w:top w:val="single" w:sz="12" w:space="0" w:color="CC0000"/>
              <w:bottom w:val="single" w:sz="12" w:space="0" w:color="CC0000"/>
            </w:tcBorders>
            <w:shd w:val="clear" w:color="auto" w:fill="auto"/>
          </w:tcPr>
          <w:p w:rsidR="00921BFB" w:rsidRPr="00C64AE1" w:rsidRDefault="00525E26" w:rsidP="000F07A5">
            <w:pPr>
              <w:keepLines/>
              <w:ind w:right="420"/>
              <w:rPr>
                <w:rFonts w:ascii="楷体" w:eastAsia="楷体" w:hAnsi="楷体" w:cs="Times New Roman"/>
                <w:szCs w:val="21"/>
              </w:rPr>
            </w:pPr>
            <w:r w:rsidRPr="00C64AE1">
              <w:rPr>
                <w:rFonts w:ascii="楷体" w:eastAsia="楷体" w:hAnsi="楷体" w:cs="Times New Roman"/>
                <w:noProof/>
                <w:szCs w:val="21"/>
              </w:rPr>
              <w:drawing>
                <wp:inline distT="0" distB="0" distL="0" distR="0">
                  <wp:extent cx="5086350" cy="2295525"/>
                  <wp:effectExtent l="19050" t="0" r="0" b="0"/>
                  <wp:docPr id="50" name="图片 12" descr="C:\Users\dengss\AppData\Local\Temp\WeChat Files\d5f756568bcea0d0b9e06784c0c0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ngss\AppData\Local\Temp\WeChat Files\d5f756568bcea0d0b9e06784c0c0532.png"/>
                          <pic:cNvPicPr>
                            <a:picLocks noChangeAspect="1" noChangeArrowheads="1"/>
                          </pic:cNvPicPr>
                        </pic:nvPicPr>
                        <pic:blipFill>
                          <a:blip r:embed="rId34"/>
                          <a:srcRect/>
                          <a:stretch>
                            <a:fillRect/>
                          </a:stretch>
                        </pic:blipFill>
                        <pic:spPr bwMode="auto">
                          <a:xfrm>
                            <a:off x="0" y="0"/>
                            <a:ext cx="5093104" cy="2298573"/>
                          </a:xfrm>
                          <a:prstGeom prst="rect">
                            <a:avLst/>
                          </a:prstGeom>
                          <a:noFill/>
                          <a:ln w="9525">
                            <a:noFill/>
                            <a:miter lim="800000"/>
                            <a:headEnd/>
                            <a:tailEnd/>
                          </a:ln>
                        </pic:spPr>
                      </pic:pic>
                    </a:graphicData>
                  </a:graphic>
                </wp:inline>
              </w:drawing>
            </w:r>
          </w:p>
        </w:tc>
      </w:tr>
      <w:tr w:rsidR="00921BFB" w:rsidRPr="00C64AE1" w:rsidTr="00921BFB">
        <w:trPr>
          <w:trHeight w:val="343"/>
          <w:jc w:val="right"/>
        </w:trPr>
        <w:tc>
          <w:tcPr>
            <w:tcW w:w="8080" w:type="dxa"/>
            <w:tcBorders>
              <w:top w:val="single" w:sz="12" w:space="0" w:color="CC0000"/>
              <w:bottom w:val="nil"/>
            </w:tcBorders>
            <w:shd w:val="clear" w:color="auto" w:fill="auto"/>
            <w:vAlign w:val="bottom"/>
          </w:tcPr>
          <w:p w:rsidR="00921BFB" w:rsidRPr="00C64AE1" w:rsidRDefault="00921BFB" w:rsidP="00EA0A32">
            <w:pPr>
              <w:keepLines/>
              <w:rPr>
                <w:rFonts w:ascii="楷体" w:eastAsia="楷体" w:hAnsi="楷体" w:cs="Times New Roman"/>
                <w:sz w:val="20"/>
                <w:szCs w:val="20"/>
              </w:rPr>
            </w:pPr>
            <w:r w:rsidRPr="00C64AE1">
              <w:rPr>
                <w:rFonts w:ascii="楷体" w:eastAsia="楷体" w:hAnsi="楷体" w:cs="Times New Roman" w:hint="eastAsia"/>
                <w:sz w:val="20"/>
                <w:szCs w:val="20"/>
              </w:rPr>
              <w:t>资料来源：中山证券研究所</w:t>
            </w:r>
          </w:p>
        </w:tc>
      </w:tr>
    </w:tbl>
    <w:p w:rsidR="00AC55B5" w:rsidRPr="00C64AE1" w:rsidRDefault="00EF4C37" w:rsidP="00446770">
      <w:pPr>
        <w:widowControl/>
        <w:spacing w:beforeLines="50" w:after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lastRenderedPageBreak/>
        <w:t>具体而言，</w:t>
      </w:r>
      <w:r w:rsidR="006261D4" w:rsidRPr="00C64AE1">
        <w:rPr>
          <w:rFonts w:ascii="楷体" w:eastAsia="楷体" w:hAnsi="楷体" w:cs="Times New Roman" w:hint="eastAsia"/>
        </w:rPr>
        <w:t>智能稳健1号组合基于大数据分析、计量模型和量化智能算法，智能跟踪全市最牛分析师及其荐股标的，从中筛选出优质个股，构建并推出短期、高频交易的牛人牛股产品组合。</w:t>
      </w:r>
      <w:r w:rsidR="00280928" w:rsidRPr="00C64AE1">
        <w:rPr>
          <w:rFonts w:ascii="楷体" w:eastAsia="楷体" w:hAnsi="楷体" w:cs="Times New Roman" w:hint="eastAsia"/>
        </w:rPr>
        <w:t>在管理上，智能稳健1号</w:t>
      </w:r>
      <w:r w:rsidR="0025171E" w:rsidRPr="00C64AE1">
        <w:rPr>
          <w:rFonts w:ascii="楷体" w:eastAsia="楷体" w:hAnsi="楷体" w:cs="Times New Roman" w:hint="eastAsia"/>
        </w:rPr>
        <w:t>已</w:t>
      </w:r>
      <w:r w:rsidR="00280928" w:rsidRPr="00C64AE1">
        <w:rPr>
          <w:rFonts w:ascii="楷体" w:eastAsia="楷体" w:hAnsi="楷体" w:cs="Times New Roman" w:hint="eastAsia"/>
        </w:rPr>
        <w:t>实现智能筛选、智能跟踪、智能管理以及风险智能控制等。经</w:t>
      </w:r>
      <w:r w:rsidR="006261D4" w:rsidRPr="00C64AE1">
        <w:rPr>
          <w:rFonts w:ascii="楷体" w:eastAsia="楷体" w:hAnsi="楷体" w:cs="Times New Roman" w:hint="eastAsia"/>
        </w:rPr>
        <w:t>跟踪</w:t>
      </w:r>
      <w:r w:rsidR="00280928" w:rsidRPr="00C64AE1">
        <w:rPr>
          <w:rFonts w:ascii="楷体" w:eastAsia="楷体" w:hAnsi="楷体" w:cs="Times New Roman" w:hint="eastAsia"/>
        </w:rPr>
        <w:t>发现</w:t>
      </w:r>
      <w:r w:rsidR="006261D4" w:rsidRPr="00C64AE1">
        <w:rPr>
          <w:rFonts w:ascii="楷体" w:eastAsia="楷体" w:hAnsi="楷体" w:cs="Times New Roman" w:hint="eastAsia"/>
        </w:rPr>
        <w:t>，组合</w:t>
      </w:r>
      <w:r w:rsidR="00280928" w:rsidRPr="00C64AE1">
        <w:rPr>
          <w:rFonts w:ascii="楷体" w:eastAsia="楷体" w:hAnsi="楷体" w:cs="Times New Roman" w:hint="eastAsia"/>
        </w:rPr>
        <w:t>产品及所荐</w:t>
      </w:r>
      <w:r w:rsidR="006261D4" w:rsidRPr="00C64AE1">
        <w:rPr>
          <w:rFonts w:ascii="楷体" w:eastAsia="楷体" w:hAnsi="楷体" w:cs="Times New Roman" w:hint="eastAsia"/>
        </w:rPr>
        <w:t>个股抓住了</w:t>
      </w:r>
      <w:r w:rsidR="00280928" w:rsidRPr="00C64AE1">
        <w:rPr>
          <w:rFonts w:ascii="楷体" w:eastAsia="楷体" w:hAnsi="楷体" w:cs="Times New Roman" w:hint="eastAsia"/>
        </w:rPr>
        <w:t>市场情绪</w:t>
      </w:r>
      <w:r w:rsidR="006261D4" w:rsidRPr="00C64AE1">
        <w:rPr>
          <w:rFonts w:ascii="楷体" w:eastAsia="楷体" w:hAnsi="楷体" w:cs="Times New Roman" w:hint="eastAsia"/>
        </w:rPr>
        <w:t>溢价，在择股方面表现出远强于市的择股能力</w:t>
      </w:r>
      <w:r w:rsidR="00280928" w:rsidRPr="00C64AE1">
        <w:rPr>
          <w:rFonts w:ascii="楷体" w:eastAsia="楷体" w:hAnsi="楷体" w:cs="Times New Roman" w:hint="eastAsia"/>
        </w:rPr>
        <w:t>，并取得强于比较参照沪深300的绝对收益（23.12%）与相对收益（44.96%）</w:t>
      </w:r>
      <w:r w:rsidR="006261D4" w:rsidRPr="00C64AE1">
        <w:rPr>
          <w:rFonts w:ascii="楷体" w:eastAsia="楷体" w:hAnsi="楷体" w:cs="Times New Roman" w:hint="eastAsia"/>
        </w:rPr>
        <w:t>。经跟踪与回测发现：高Alp</w:t>
      </w:r>
      <w:r w:rsidR="006261D4" w:rsidRPr="00C64AE1">
        <w:rPr>
          <w:rFonts w:ascii="楷体" w:eastAsia="楷体" w:hAnsi="楷体" w:cs="Times New Roman"/>
        </w:rPr>
        <w:t>ha</w:t>
      </w:r>
      <w:r w:rsidR="006261D4" w:rsidRPr="00C64AE1">
        <w:rPr>
          <w:rFonts w:ascii="楷体" w:eastAsia="楷体" w:hAnsi="楷体" w:cs="Times New Roman" w:hint="eastAsia"/>
        </w:rPr>
        <w:t>、低Be</w:t>
      </w:r>
      <w:r w:rsidR="006261D4" w:rsidRPr="00C64AE1">
        <w:rPr>
          <w:rFonts w:ascii="楷体" w:eastAsia="楷体" w:hAnsi="楷体" w:cs="Times New Roman"/>
        </w:rPr>
        <w:t>ta</w:t>
      </w:r>
      <w:r w:rsidR="006261D4" w:rsidRPr="00C64AE1">
        <w:rPr>
          <w:rFonts w:ascii="楷体" w:eastAsia="楷体" w:hAnsi="楷体" w:cs="Times New Roman" w:hint="eastAsia"/>
        </w:rPr>
        <w:t>型稳健型组合产品，适合中低风险偏好、高频交易的投资者。</w:t>
      </w:r>
    </w:p>
    <w:p w:rsidR="00F24122" w:rsidRPr="00C64AE1" w:rsidRDefault="00F24122" w:rsidP="00446770">
      <w:pPr>
        <w:keepNext/>
        <w:widowControl/>
        <w:numPr>
          <w:ilvl w:val="2"/>
          <w:numId w:val="0"/>
        </w:numPr>
        <w:spacing w:beforeLines="50" w:afterLines="50" w:line="360" w:lineRule="auto"/>
        <w:ind w:leftChars="1200" w:left="3122" w:hangingChars="250" w:hanging="602"/>
        <w:outlineLvl w:val="2"/>
        <w:rPr>
          <w:rFonts w:ascii="楷体" w:eastAsia="楷体" w:hAnsi="楷体" w:cs="Times New Roman"/>
          <w:b/>
          <w:sz w:val="24"/>
        </w:rPr>
      </w:pPr>
      <w:bookmarkStart w:id="28" w:name="_Toc531856907"/>
      <w:r w:rsidRPr="00C64AE1">
        <w:rPr>
          <w:rFonts w:ascii="楷体" w:eastAsia="楷体" w:hAnsi="楷体" w:cs="Times New Roman" w:hint="eastAsia"/>
          <w:b/>
          <w:sz w:val="24"/>
        </w:rPr>
        <w:t>1.6.2 择时模型对市场与行业判断基本符合预期</w:t>
      </w:r>
      <w:bookmarkEnd w:id="28"/>
    </w:p>
    <w:p w:rsidR="00EE4F60" w:rsidRPr="00C64AE1" w:rsidRDefault="006261D4" w:rsidP="00446770">
      <w:pPr>
        <w:widowControl/>
        <w:spacing w:beforeLines="50" w:afterLines="50" w:line="312" w:lineRule="auto"/>
        <w:ind w:leftChars="1200" w:left="2520" w:firstLineChars="200" w:firstLine="420"/>
        <w:rPr>
          <w:rFonts w:ascii="楷体" w:eastAsia="楷体" w:hAnsi="楷体" w:cs="Times New Roman"/>
          <w:szCs w:val="21"/>
        </w:rPr>
      </w:pPr>
      <w:r w:rsidRPr="00C64AE1">
        <w:rPr>
          <w:rFonts w:ascii="楷体" w:eastAsia="楷体" w:hAnsi="楷体" w:cs="Times New Roman" w:hint="eastAsia"/>
          <w:szCs w:val="21"/>
        </w:rPr>
        <w:t>择时</w:t>
      </w:r>
      <w:r w:rsidR="00EF49C1" w:rsidRPr="00C64AE1">
        <w:rPr>
          <w:rFonts w:ascii="楷体" w:eastAsia="楷体" w:hAnsi="楷体" w:cs="Times New Roman" w:hint="eastAsia"/>
          <w:szCs w:val="21"/>
        </w:rPr>
        <w:t>模型</w:t>
      </w:r>
      <w:r w:rsidRPr="00C64AE1">
        <w:rPr>
          <w:rFonts w:ascii="楷体" w:eastAsia="楷体" w:hAnsi="楷体" w:cs="Times New Roman" w:hint="eastAsia"/>
          <w:szCs w:val="21"/>
        </w:rPr>
        <w:t>方面，</w:t>
      </w:r>
      <w:r w:rsidR="00DD4076" w:rsidRPr="00C64AE1">
        <w:rPr>
          <w:rFonts w:ascii="楷体" w:eastAsia="楷体" w:hAnsi="楷体" w:cs="Times New Roman" w:hint="eastAsia"/>
          <w:szCs w:val="21"/>
        </w:rPr>
        <w:t>中期策略中，我们根据择时模型的长、短期多空判断，结合市场资金供给与需求失衡等实际，长期震荡看空沪深</w:t>
      </w:r>
      <w:r w:rsidR="00DD4076" w:rsidRPr="00C64AE1">
        <w:rPr>
          <w:rFonts w:ascii="楷体" w:eastAsia="楷体" w:hAnsi="楷体" w:cs="Times New Roman"/>
          <w:szCs w:val="21"/>
        </w:rPr>
        <w:t>300</w:t>
      </w:r>
      <w:r w:rsidR="00DD4076" w:rsidRPr="00C64AE1">
        <w:rPr>
          <w:rFonts w:ascii="楷体" w:eastAsia="楷体" w:hAnsi="楷体" w:cs="Times New Roman" w:hint="eastAsia"/>
          <w:szCs w:val="21"/>
        </w:rPr>
        <w:t>、上证综指、创业板指、中证</w:t>
      </w:r>
      <w:r w:rsidR="00DD4076" w:rsidRPr="00C64AE1">
        <w:rPr>
          <w:rFonts w:ascii="楷体" w:eastAsia="楷体" w:hAnsi="楷体" w:cs="Times New Roman"/>
          <w:szCs w:val="21"/>
        </w:rPr>
        <w:t>500</w:t>
      </w:r>
      <w:r w:rsidR="00DD4076" w:rsidRPr="00C64AE1">
        <w:rPr>
          <w:rFonts w:ascii="楷体" w:eastAsia="楷体" w:hAnsi="楷体" w:cs="Times New Roman" w:hint="eastAsia"/>
          <w:szCs w:val="21"/>
        </w:rPr>
        <w:t>与中小板指等主要指数；从多空强度判断短期内，创业板指、中证</w:t>
      </w:r>
      <w:r w:rsidR="00DD4076" w:rsidRPr="00C64AE1">
        <w:rPr>
          <w:rFonts w:ascii="楷体" w:eastAsia="楷体" w:hAnsi="楷体" w:cs="Times New Roman"/>
          <w:szCs w:val="21"/>
        </w:rPr>
        <w:t xml:space="preserve">500 </w:t>
      </w:r>
      <w:r w:rsidR="00DD4076" w:rsidRPr="00C64AE1">
        <w:rPr>
          <w:rFonts w:ascii="楷体" w:eastAsia="楷体" w:hAnsi="楷体" w:cs="Times New Roman" w:hint="eastAsia"/>
          <w:szCs w:val="21"/>
        </w:rPr>
        <w:t>与中证</w:t>
      </w:r>
      <w:r w:rsidR="00DD4076" w:rsidRPr="00C64AE1">
        <w:rPr>
          <w:rFonts w:ascii="楷体" w:eastAsia="楷体" w:hAnsi="楷体" w:cs="Times New Roman"/>
          <w:szCs w:val="21"/>
        </w:rPr>
        <w:t xml:space="preserve">1000 </w:t>
      </w:r>
      <w:r w:rsidR="00DD4076" w:rsidRPr="00C64AE1">
        <w:rPr>
          <w:rFonts w:ascii="楷体" w:eastAsia="楷体" w:hAnsi="楷体" w:cs="Times New Roman" w:hint="eastAsia"/>
          <w:szCs w:val="21"/>
        </w:rPr>
        <w:t>等指数短期大概率盘整或超跌回补。市场表现</w:t>
      </w:r>
      <w:r w:rsidR="007B5904" w:rsidRPr="00C64AE1">
        <w:rPr>
          <w:rFonts w:ascii="楷体" w:eastAsia="楷体" w:hAnsi="楷体" w:cs="Times New Roman" w:hint="eastAsia"/>
          <w:szCs w:val="21"/>
        </w:rPr>
        <w:t>验</w:t>
      </w:r>
      <w:r w:rsidR="00DD4076" w:rsidRPr="00C64AE1">
        <w:rPr>
          <w:rFonts w:ascii="楷体" w:eastAsia="楷体" w:hAnsi="楷体" w:cs="Times New Roman" w:hint="eastAsia"/>
          <w:szCs w:val="21"/>
        </w:rPr>
        <w:t>证了我们观点。</w:t>
      </w:r>
    </w:p>
    <w:p w:rsidR="006261D4" w:rsidRPr="00C64AE1" w:rsidRDefault="00DD4076" w:rsidP="00446770">
      <w:pPr>
        <w:widowControl/>
        <w:spacing w:beforeLines="50" w:afterLines="50" w:line="312" w:lineRule="auto"/>
        <w:ind w:leftChars="1200" w:left="2520" w:firstLineChars="200" w:firstLine="420"/>
        <w:rPr>
          <w:rFonts w:ascii="楷体" w:eastAsia="楷体" w:hAnsi="楷体" w:cs="Times New Roman"/>
          <w:b/>
        </w:rPr>
      </w:pPr>
      <w:r w:rsidRPr="00C64AE1">
        <w:rPr>
          <w:rFonts w:ascii="楷体" w:eastAsia="楷体" w:hAnsi="楷体" w:cs="Times New Roman" w:hint="eastAsia"/>
          <w:szCs w:val="21"/>
        </w:rPr>
        <w:t>此外，</w:t>
      </w:r>
      <w:r w:rsidR="00EF49C1" w:rsidRPr="00C64AE1">
        <w:rPr>
          <w:rFonts w:ascii="楷体" w:eastAsia="楷体" w:hAnsi="楷体" w:cs="Times New Roman" w:hint="eastAsia"/>
          <w:szCs w:val="21"/>
        </w:rPr>
        <w:t>择时模型对市场主要指数、申万行业的短期走势，也具有较好的预判效果</w:t>
      </w:r>
      <w:r w:rsidR="00A540F0" w:rsidRPr="00C64AE1">
        <w:rPr>
          <w:rFonts w:ascii="楷体" w:eastAsia="楷体" w:hAnsi="楷体" w:cs="Times New Roman" w:hint="eastAsia"/>
          <w:szCs w:val="21"/>
        </w:rPr>
        <w:t>。</w:t>
      </w:r>
      <w:r w:rsidR="00EE4F60" w:rsidRPr="00C64AE1">
        <w:rPr>
          <w:rFonts w:ascii="楷体" w:eastAsia="楷体" w:hAnsi="楷体" w:cs="Times New Roman" w:hint="eastAsia"/>
          <w:szCs w:val="21"/>
        </w:rPr>
        <w:t>5月重点推荐的医药生物行业当月上涨6.61%，获正值收益且大幅跑赢沪深300（1.21%）；7月重点推荐的钢铁（9.65%）、建筑材料（8.84%）、国防军工（4.68%）等行业均表现居前，且大幅跑赢沪深300（0.19%）；9月重点推荐的国防军工行业上涨3.52%，获正值收益且跑赢沪深300（3.13%）</w:t>
      </w:r>
      <w:r w:rsidR="007B5904" w:rsidRPr="00C64AE1">
        <w:rPr>
          <w:rFonts w:ascii="楷体" w:eastAsia="楷体" w:hAnsi="楷体" w:cs="Times New Roman" w:hint="eastAsia"/>
          <w:szCs w:val="21"/>
        </w:rPr>
        <w:t>、11月重点推荐的传媒</w:t>
      </w:r>
      <w:r w:rsidR="007B5904" w:rsidRPr="00C64AE1">
        <w:rPr>
          <w:rFonts w:ascii="楷体" w:eastAsia="楷体" w:hAnsi="楷体" w:cs="Arial" w:hint="eastAsia"/>
          <w:bCs/>
          <w:kern w:val="0"/>
          <w:sz w:val="20"/>
          <w:szCs w:val="20"/>
        </w:rPr>
        <w:t>（4.37%）</w:t>
      </w:r>
      <w:r w:rsidR="007B5904" w:rsidRPr="00C64AE1">
        <w:rPr>
          <w:rFonts w:ascii="楷体" w:eastAsia="楷体" w:hAnsi="楷体" w:cs="Times New Roman" w:hint="eastAsia"/>
          <w:szCs w:val="21"/>
        </w:rPr>
        <w:t>、计算机</w:t>
      </w:r>
      <w:r w:rsidR="007B5904" w:rsidRPr="00C64AE1">
        <w:rPr>
          <w:rFonts w:ascii="楷体" w:eastAsia="楷体" w:hAnsi="楷体" w:cs="Arial" w:hint="eastAsia"/>
          <w:bCs/>
          <w:kern w:val="0"/>
          <w:sz w:val="20"/>
          <w:szCs w:val="20"/>
        </w:rPr>
        <w:t>（4.47%）</w:t>
      </w:r>
      <w:r w:rsidR="007B5904" w:rsidRPr="00C64AE1">
        <w:rPr>
          <w:rFonts w:ascii="楷体" w:eastAsia="楷体" w:hAnsi="楷体" w:cs="Times New Roman" w:hint="eastAsia"/>
          <w:szCs w:val="21"/>
        </w:rPr>
        <w:t>、机械设备（4.63%）、轻工制造</w:t>
      </w:r>
      <w:r w:rsidR="007B5904" w:rsidRPr="00C64AE1">
        <w:rPr>
          <w:rFonts w:ascii="楷体" w:eastAsia="楷体" w:hAnsi="楷体" w:cs="Arial" w:hint="eastAsia"/>
          <w:bCs/>
          <w:kern w:val="0"/>
          <w:sz w:val="20"/>
          <w:szCs w:val="20"/>
        </w:rPr>
        <w:t>（5.00%）</w:t>
      </w:r>
      <w:r w:rsidR="007B5904" w:rsidRPr="00C64AE1">
        <w:rPr>
          <w:rFonts w:ascii="楷体" w:eastAsia="楷体" w:hAnsi="楷体" w:cs="Times New Roman" w:hint="eastAsia"/>
          <w:szCs w:val="21"/>
        </w:rPr>
        <w:t>、通信</w:t>
      </w:r>
      <w:r w:rsidR="007B5904" w:rsidRPr="00C64AE1">
        <w:rPr>
          <w:rFonts w:ascii="楷体" w:eastAsia="楷体" w:hAnsi="楷体" w:cs="Arial" w:hint="eastAsia"/>
          <w:bCs/>
          <w:kern w:val="0"/>
          <w:sz w:val="20"/>
          <w:szCs w:val="20"/>
        </w:rPr>
        <w:t>（7.05%）</w:t>
      </w:r>
      <w:r w:rsidR="007B5904" w:rsidRPr="00C64AE1">
        <w:rPr>
          <w:rFonts w:ascii="楷体" w:eastAsia="楷体" w:hAnsi="楷体" w:cs="Times New Roman" w:hint="eastAsia"/>
          <w:szCs w:val="21"/>
        </w:rPr>
        <w:t>等行业，获得远强于沪深300的绝对收益</w:t>
      </w:r>
      <w:r w:rsidR="00EE4F60" w:rsidRPr="00C64AE1">
        <w:rPr>
          <w:rFonts w:ascii="楷体" w:eastAsia="楷体" w:hAnsi="楷体" w:cs="Times New Roman" w:hint="eastAsia"/>
          <w:szCs w:val="21"/>
        </w:rPr>
        <w:t>。</w:t>
      </w:r>
      <w:r w:rsidR="00D31A8A" w:rsidRPr="00C64AE1">
        <w:rPr>
          <w:rFonts w:ascii="楷体" w:eastAsia="楷体" w:hAnsi="楷体" w:cs="Times New Roman" w:hint="eastAsia"/>
          <w:szCs w:val="21"/>
        </w:rPr>
        <w:t>具体</w:t>
      </w:r>
      <w:r w:rsidR="00F70B15" w:rsidRPr="00C64AE1">
        <w:rPr>
          <w:rFonts w:ascii="楷体" w:eastAsia="楷体" w:hAnsi="楷体" w:cs="Times New Roman" w:hint="eastAsia"/>
          <w:szCs w:val="21"/>
        </w:rPr>
        <w:t>详情如</w:t>
      </w:r>
      <w:r w:rsidR="00EE4F60" w:rsidRPr="00C64AE1">
        <w:rPr>
          <w:rFonts w:ascii="楷体" w:eastAsia="楷体" w:hAnsi="楷体" w:cs="Times New Roman" w:hint="eastAsia"/>
          <w:szCs w:val="21"/>
        </w:rPr>
        <w:t>表3所示</w:t>
      </w:r>
      <w:r w:rsidR="00F70B15" w:rsidRPr="00C64AE1">
        <w:rPr>
          <w:rFonts w:ascii="楷体" w:eastAsia="楷体" w:hAnsi="楷体" w:cs="Times New Roman" w:hint="eastAsia"/>
          <w:szCs w:val="21"/>
        </w:rPr>
        <w:t>：</w:t>
      </w:r>
    </w:p>
    <w:tbl>
      <w:tblPr>
        <w:tblW w:w="4822" w:type="pct"/>
        <w:jc w:val="right"/>
        <w:tblInd w:w="-55" w:type="dxa"/>
        <w:tblLook w:val="04A0"/>
      </w:tblPr>
      <w:tblGrid>
        <w:gridCol w:w="661"/>
        <w:gridCol w:w="1827"/>
        <w:gridCol w:w="8109"/>
      </w:tblGrid>
      <w:tr w:rsidR="00F70B15" w:rsidRPr="00C64AE1" w:rsidTr="00F70B15">
        <w:trPr>
          <w:trHeight w:val="213"/>
          <w:jc w:val="right"/>
        </w:trPr>
        <w:tc>
          <w:tcPr>
            <w:tcW w:w="5000" w:type="pct"/>
            <w:gridSpan w:val="3"/>
            <w:tcBorders>
              <w:left w:val="dotted" w:sz="4" w:space="0" w:color="auto"/>
              <w:bottom w:val="single" w:sz="6" w:space="0" w:color="BE0000"/>
              <w:right w:val="dotted" w:sz="4" w:space="0" w:color="auto"/>
            </w:tcBorders>
          </w:tcPr>
          <w:p w:rsidR="00F70B15" w:rsidRPr="00C64AE1" w:rsidRDefault="00F70B15" w:rsidP="00F70B15">
            <w:pPr>
              <w:keepNext/>
              <w:keepLines/>
              <w:widowControl/>
              <w:jc w:val="left"/>
              <w:rPr>
                <w:rFonts w:ascii="楷体" w:eastAsia="楷体" w:hAnsi="楷体" w:cs="Arial"/>
                <w:b/>
                <w:bCs/>
                <w:kern w:val="0"/>
                <w:sz w:val="20"/>
                <w:szCs w:val="20"/>
              </w:rPr>
            </w:pPr>
            <w:r w:rsidRPr="00C64AE1">
              <w:rPr>
                <w:rFonts w:ascii="楷体" w:eastAsia="楷体" w:hAnsi="楷体" w:cs="Arial"/>
                <w:sz w:val="20"/>
                <w:szCs w:val="20"/>
              </w:rPr>
              <w:t>表</w:t>
            </w:r>
            <w:r w:rsidRPr="00C64AE1">
              <w:rPr>
                <w:rFonts w:ascii="楷体" w:eastAsia="楷体" w:hAnsi="楷体" w:cs="Arial" w:hint="eastAsia"/>
                <w:sz w:val="20"/>
                <w:szCs w:val="20"/>
              </w:rPr>
              <w:t>3</w:t>
            </w:r>
            <w:r w:rsidRPr="00C64AE1">
              <w:rPr>
                <w:rFonts w:ascii="楷体" w:eastAsia="楷体" w:hAnsi="楷体" w:cs="Arial"/>
                <w:sz w:val="20"/>
                <w:szCs w:val="20"/>
              </w:rPr>
              <w:t xml:space="preserve"> </w:t>
            </w:r>
            <w:r w:rsidRPr="00C64AE1">
              <w:rPr>
                <w:rFonts w:ascii="楷体" w:eastAsia="楷体" w:hAnsi="楷体" w:cs="Arial"/>
                <w:kern w:val="0"/>
                <w:sz w:val="20"/>
                <w:szCs w:val="20"/>
              </w:rPr>
              <w:t xml:space="preserve"> </w:t>
            </w:r>
            <w:r w:rsidRPr="00C64AE1">
              <w:rPr>
                <w:rFonts w:ascii="楷体" w:eastAsia="楷体" w:hAnsi="楷体" w:cs="Arial" w:hint="eastAsia"/>
                <w:kern w:val="0"/>
                <w:sz w:val="20"/>
                <w:szCs w:val="20"/>
              </w:rPr>
              <w:t>2018年各月份择时系统重点推荐行业及其</w:t>
            </w:r>
            <w:r w:rsidR="00F8434D" w:rsidRPr="00C64AE1">
              <w:rPr>
                <w:rFonts w:ascii="楷体" w:eastAsia="楷体" w:hAnsi="楷体" w:cs="Arial" w:hint="eastAsia"/>
                <w:kern w:val="0"/>
                <w:sz w:val="20"/>
                <w:szCs w:val="20"/>
              </w:rPr>
              <w:t>业绩</w:t>
            </w:r>
            <w:r w:rsidRPr="00C64AE1">
              <w:rPr>
                <w:rFonts w:ascii="楷体" w:eastAsia="楷体" w:hAnsi="楷体" w:cs="Arial" w:hint="eastAsia"/>
                <w:kern w:val="0"/>
                <w:sz w:val="20"/>
                <w:szCs w:val="20"/>
              </w:rPr>
              <w:t>表现</w:t>
            </w:r>
          </w:p>
        </w:tc>
      </w:tr>
      <w:tr w:rsidR="00F70B15" w:rsidRPr="00C64AE1" w:rsidTr="00F70B15">
        <w:trPr>
          <w:trHeight w:val="213"/>
          <w:jc w:val="right"/>
        </w:trPr>
        <w:tc>
          <w:tcPr>
            <w:tcW w:w="312" w:type="pct"/>
            <w:tcBorders>
              <w:top w:val="single" w:sz="12" w:space="0" w:color="BE0000"/>
              <w:left w:val="dotted" w:sz="4" w:space="0" w:color="auto"/>
              <w:bottom w:val="single" w:sz="6" w:space="0" w:color="BE0000"/>
              <w:right w:val="dotted" w:sz="4" w:space="0" w:color="auto"/>
            </w:tcBorders>
            <w:vAlign w:val="center"/>
          </w:tcPr>
          <w:p w:rsidR="00F70B15" w:rsidRPr="00C64AE1" w:rsidRDefault="00F70B15" w:rsidP="00100B70">
            <w:pPr>
              <w:keepNext/>
              <w:keepLines/>
              <w:widowControl/>
              <w:jc w:val="center"/>
              <w:rPr>
                <w:rFonts w:ascii="楷体" w:eastAsia="楷体" w:hAnsi="楷体" w:cs="Arial"/>
                <w:b/>
                <w:bCs/>
                <w:kern w:val="0"/>
                <w:sz w:val="20"/>
                <w:szCs w:val="20"/>
              </w:rPr>
            </w:pPr>
            <w:r w:rsidRPr="00C64AE1">
              <w:rPr>
                <w:rFonts w:ascii="楷体" w:eastAsia="楷体" w:hAnsi="楷体" w:cs="Arial"/>
                <w:b/>
                <w:bCs/>
                <w:kern w:val="0"/>
                <w:sz w:val="20"/>
                <w:szCs w:val="20"/>
              </w:rPr>
              <w:t>月份</w:t>
            </w:r>
          </w:p>
        </w:tc>
        <w:tc>
          <w:tcPr>
            <w:tcW w:w="862" w:type="pct"/>
            <w:tcBorders>
              <w:top w:val="single" w:sz="12" w:space="0" w:color="BE0000"/>
              <w:left w:val="dotted" w:sz="4" w:space="0" w:color="auto"/>
              <w:bottom w:val="single" w:sz="6" w:space="0" w:color="BE0000"/>
              <w:right w:val="dotted" w:sz="4" w:space="0" w:color="auto"/>
            </w:tcBorders>
            <w:vAlign w:val="center"/>
          </w:tcPr>
          <w:p w:rsidR="00F70B15" w:rsidRPr="00C64AE1" w:rsidRDefault="00F70B15" w:rsidP="00100B70">
            <w:pPr>
              <w:keepNext/>
              <w:keepLines/>
              <w:widowControl/>
              <w:jc w:val="center"/>
              <w:rPr>
                <w:rFonts w:ascii="楷体" w:eastAsia="楷体" w:hAnsi="楷体" w:cs="Arial"/>
                <w:b/>
                <w:bCs/>
                <w:kern w:val="0"/>
                <w:sz w:val="20"/>
                <w:szCs w:val="20"/>
              </w:rPr>
            </w:pPr>
            <w:r w:rsidRPr="00C64AE1">
              <w:rPr>
                <w:rFonts w:ascii="楷体" w:eastAsia="楷体" w:hAnsi="楷体" w:cs="Arial"/>
                <w:b/>
                <w:bCs/>
                <w:kern w:val="0"/>
                <w:sz w:val="20"/>
                <w:szCs w:val="20"/>
              </w:rPr>
              <w:t>沪深</w:t>
            </w:r>
            <w:r w:rsidRPr="00C64AE1">
              <w:rPr>
                <w:rFonts w:ascii="楷体" w:eastAsia="楷体" w:hAnsi="楷体" w:cs="Arial" w:hint="eastAsia"/>
                <w:b/>
                <w:bCs/>
                <w:kern w:val="0"/>
                <w:sz w:val="20"/>
                <w:szCs w:val="20"/>
              </w:rPr>
              <w:t>300</w:t>
            </w:r>
          </w:p>
        </w:tc>
        <w:tc>
          <w:tcPr>
            <w:tcW w:w="3826" w:type="pct"/>
            <w:tcBorders>
              <w:top w:val="single" w:sz="12" w:space="0" w:color="BE0000"/>
              <w:left w:val="dotted" w:sz="4" w:space="0" w:color="auto"/>
              <w:bottom w:val="single" w:sz="6" w:space="0" w:color="BE0000"/>
              <w:right w:val="dotted" w:sz="4" w:space="0" w:color="auto"/>
            </w:tcBorders>
            <w:shd w:val="clear" w:color="auto" w:fill="auto"/>
            <w:noWrap/>
            <w:vAlign w:val="center"/>
          </w:tcPr>
          <w:p w:rsidR="00F70B15" w:rsidRPr="00C64AE1" w:rsidRDefault="00F70B15" w:rsidP="00FF3F67">
            <w:pPr>
              <w:keepNext/>
              <w:keepLines/>
              <w:widowControl/>
              <w:jc w:val="left"/>
              <w:rPr>
                <w:rFonts w:ascii="楷体" w:eastAsia="楷体" w:hAnsi="楷体" w:cs="Arial"/>
                <w:b/>
                <w:bCs/>
                <w:kern w:val="0"/>
                <w:sz w:val="20"/>
                <w:szCs w:val="20"/>
              </w:rPr>
            </w:pPr>
            <w:r w:rsidRPr="00C64AE1">
              <w:rPr>
                <w:rFonts w:ascii="楷体" w:eastAsia="楷体" w:hAnsi="楷体" w:cs="Arial"/>
                <w:b/>
                <w:bCs/>
                <w:kern w:val="0"/>
                <w:sz w:val="20"/>
                <w:szCs w:val="20"/>
              </w:rPr>
              <w:t>重点推荐行业及</w:t>
            </w:r>
            <w:r w:rsidR="00A86E61" w:rsidRPr="00C64AE1">
              <w:rPr>
                <w:rFonts w:ascii="楷体" w:eastAsia="楷体" w:hAnsi="楷体" w:cs="Arial" w:hint="eastAsia"/>
                <w:b/>
                <w:bCs/>
                <w:kern w:val="0"/>
                <w:sz w:val="20"/>
                <w:szCs w:val="20"/>
              </w:rPr>
              <w:t>其业绩</w:t>
            </w:r>
            <w:r w:rsidRPr="00C64AE1">
              <w:rPr>
                <w:rFonts w:ascii="楷体" w:eastAsia="楷体" w:hAnsi="楷体" w:cs="Arial"/>
                <w:b/>
                <w:bCs/>
                <w:kern w:val="0"/>
                <w:sz w:val="20"/>
                <w:szCs w:val="20"/>
              </w:rPr>
              <w:t>表现</w:t>
            </w:r>
          </w:p>
        </w:tc>
      </w:tr>
      <w:tr w:rsidR="00F70B15" w:rsidRPr="00C64AE1" w:rsidTr="00F70B15">
        <w:trPr>
          <w:trHeight w:val="240"/>
          <w:jc w:val="right"/>
        </w:trPr>
        <w:tc>
          <w:tcPr>
            <w:tcW w:w="312"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F70B15" w:rsidRPr="00C64AE1" w:rsidRDefault="00F70B15" w:rsidP="00100B70">
            <w:pPr>
              <w:jc w:val="center"/>
              <w:rPr>
                <w:rFonts w:ascii="楷体" w:eastAsia="楷体" w:hAnsi="楷体" w:cs="宋体"/>
                <w:b/>
                <w:bCs/>
                <w:sz w:val="20"/>
                <w:szCs w:val="20"/>
              </w:rPr>
            </w:pPr>
            <w:r w:rsidRPr="00C64AE1">
              <w:rPr>
                <w:rFonts w:ascii="楷体" w:eastAsia="楷体" w:hAnsi="楷体" w:cs="宋体" w:hint="eastAsia"/>
                <w:b/>
                <w:bCs/>
                <w:sz w:val="20"/>
                <w:szCs w:val="20"/>
              </w:rPr>
              <w:t>5月</w:t>
            </w:r>
          </w:p>
        </w:tc>
        <w:tc>
          <w:tcPr>
            <w:tcW w:w="862"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F70B15" w:rsidRPr="00C64AE1" w:rsidRDefault="00F70B15" w:rsidP="00100B70">
            <w:pPr>
              <w:jc w:val="center"/>
              <w:rPr>
                <w:rFonts w:ascii="楷体" w:eastAsia="楷体" w:hAnsi="楷体" w:cs="宋体"/>
                <w:sz w:val="20"/>
                <w:szCs w:val="20"/>
              </w:rPr>
            </w:pPr>
            <w:r w:rsidRPr="00C64AE1">
              <w:rPr>
                <w:rFonts w:ascii="楷体" w:eastAsia="楷体" w:hAnsi="楷体" w:cs="宋体" w:hint="eastAsia"/>
                <w:sz w:val="20"/>
                <w:szCs w:val="20"/>
              </w:rPr>
              <w:t>1.21%</w:t>
            </w:r>
          </w:p>
        </w:tc>
        <w:tc>
          <w:tcPr>
            <w:tcW w:w="3826" w:type="pct"/>
            <w:tcBorders>
              <w:top w:val="dotted" w:sz="4" w:space="0" w:color="auto"/>
              <w:left w:val="dotted" w:sz="4" w:space="0" w:color="auto"/>
              <w:bottom w:val="dotted" w:sz="4" w:space="0" w:color="auto"/>
              <w:right w:val="dotted" w:sz="4" w:space="0" w:color="auto"/>
            </w:tcBorders>
            <w:shd w:val="clear" w:color="auto" w:fill="D9D9D9" w:themeFill="background1" w:themeFillShade="D9"/>
            <w:noWrap/>
            <w:vAlign w:val="center"/>
          </w:tcPr>
          <w:p w:rsidR="00F70B15" w:rsidRPr="00C64AE1" w:rsidRDefault="00F70B15" w:rsidP="00100B70">
            <w:pPr>
              <w:keepNext/>
              <w:keepLines/>
              <w:widowControl/>
              <w:jc w:val="left"/>
              <w:rPr>
                <w:rFonts w:ascii="楷体" w:eastAsia="楷体" w:hAnsi="楷体" w:cs="Arial"/>
                <w:bCs/>
                <w:kern w:val="0"/>
                <w:sz w:val="20"/>
                <w:szCs w:val="20"/>
              </w:rPr>
            </w:pPr>
            <w:r w:rsidRPr="00C64AE1">
              <w:rPr>
                <w:rFonts w:ascii="楷体" w:eastAsia="楷体" w:hAnsi="楷体" w:cs="Arial"/>
                <w:bCs/>
                <w:kern w:val="0"/>
                <w:sz w:val="20"/>
                <w:szCs w:val="20"/>
              </w:rPr>
              <w:t>医药生物</w:t>
            </w:r>
            <w:r w:rsidRPr="00C64AE1">
              <w:rPr>
                <w:rFonts w:ascii="楷体" w:eastAsia="楷体" w:hAnsi="楷体" w:cs="Arial" w:hint="eastAsia"/>
                <w:bCs/>
                <w:kern w:val="0"/>
                <w:sz w:val="20"/>
                <w:szCs w:val="20"/>
              </w:rPr>
              <w:t>（6.61%）</w:t>
            </w:r>
          </w:p>
        </w:tc>
      </w:tr>
      <w:tr w:rsidR="00F70B15" w:rsidRPr="00C64AE1" w:rsidTr="00F70B15">
        <w:trPr>
          <w:trHeight w:val="240"/>
          <w:jc w:val="right"/>
        </w:trPr>
        <w:tc>
          <w:tcPr>
            <w:tcW w:w="312" w:type="pct"/>
            <w:tcBorders>
              <w:top w:val="dotted" w:sz="4" w:space="0" w:color="auto"/>
              <w:left w:val="dotted" w:sz="4" w:space="0" w:color="auto"/>
              <w:bottom w:val="dotted" w:sz="4" w:space="0" w:color="auto"/>
              <w:right w:val="dotted" w:sz="4" w:space="0" w:color="auto"/>
            </w:tcBorders>
            <w:vAlign w:val="center"/>
          </w:tcPr>
          <w:p w:rsidR="00F70B15" w:rsidRPr="00C64AE1" w:rsidRDefault="00F70B15" w:rsidP="00100B70">
            <w:pPr>
              <w:jc w:val="center"/>
              <w:rPr>
                <w:rFonts w:ascii="楷体" w:eastAsia="楷体" w:hAnsi="楷体" w:cs="宋体"/>
                <w:b/>
                <w:bCs/>
                <w:sz w:val="20"/>
                <w:szCs w:val="20"/>
              </w:rPr>
            </w:pPr>
            <w:r w:rsidRPr="00C64AE1">
              <w:rPr>
                <w:rFonts w:ascii="楷体" w:eastAsia="楷体" w:hAnsi="楷体" w:cs="宋体" w:hint="eastAsia"/>
                <w:b/>
                <w:bCs/>
                <w:sz w:val="20"/>
                <w:szCs w:val="20"/>
              </w:rPr>
              <w:t>6月</w:t>
            </w:r>
          </w:p>
        </w:tc>
        <w:tc>
          <w:tcPr>
            <w:tcW w:w="862" w:type="pct"/>
            <w:tcBorders>
              <w:top w:val="dotted" w:sz="4" w:space="0" w:color="auto"/>
              <w:left w:val="dotted" w:sz="4" w:space="0" w:color="auto"/>
              <w:bottom w:val="dotted" w:sz="4" w:space="0" w:color="auto"/>
              <w:right w:val="dotted" w:sz="4" w:space="0" w:color="auto"/>
            </w:tcBorders>
            <w:vAlign w:val="center"/>
          </w:tcPr>
          <w:p w:rsidR="00F70B15" w:rsidRPr="00C64AE1" w:rsidRDefault="00F70B15" w:rsidP="00100B70">
            <w:pPr>
              <w:jc w:val="center"/>
              <w:rPr>
                <w:rFonts w:ascii="楷体" w:eastAsia="楷体" w:hAnsi="楷体" w:cs="宋体"/>
                <w:sz w:val="20"/>
                <w:szCs w:val="20"/>
              </w:rPr>
            </w:pPr>
            <w:r w:rsidRPr="00C64AE1">
              <w:rPr>
                <w:rFonts w:ascii="楷体" w:eastAsia="楷体" w:hAnsi="楷体" w:cs="宋体" w:hint="eastAsia"/>
                <w:sz w:val="20"/>
                <w:szCs w:val="20"/>
              </w:rPr>
              <w:t>-7.66%</w:t>
            </w:r>
          </w:p>
        </w:tc>
        <w:tc>
          <w:tcPr>
            <w:tcW w:w="3826" w:type="pct"/>
            <w:tcBorders>
              <w:top w:val="dotted" w:sz="4" w:space="0" w:color="auto"/>
              <w:left w:val="dotted" w:sz="4" w:space="0" w:color="auto"/>
              <w:bottom w:val="dotted" w:sz="4" w:space="0" w:color="auto"/>
              <w:right w:val="dotted" w:sz="4" w:space="0" w:color="auto"/>
            </w:tcBorders>
            <w:shd w:val="clear" w:color="auto" w:fill="auto"/>
            <w:noWrap/>
            <w:vAlign w:val="center"/>
          </w:tcPr>
          <w:p w:rsidR="00F70B15" w:rsidRPr="00C64AE1" w:rsidRDefault="00F70B15" w:rsidP="00100B70">
            <w:pPr>
              <w:keepNext/>
              <w:keepLines/>
              <w:widowControl/>
              <w:jc w:val="left"/>
              <w:rPr>
                <w:rFonts w:ascii="楷体" w:eastAsia="楷体" w:hAnsi="楷体" w:cs="Arial"/>
                <w:bCs/>
                <w:kern w:val="0"/>
                <w:sz w:val="20"/>
                <w:szCs w:val="20"/>
              </w:rPr>
            </w:pPr>
            <w:r w:rsidRPr="00C64AE1">
              <w:rPr>
                <w:rFonts w:ascii="楷体" w:eastAsia="楷体" w:hAnsi="楷体" w:cs="Arial"/>
                <w:bCs/>
                <w:kern w:val="0"/>
                <w:sz w:val="20"/>
                <w:szCs w:val="20"/>
              </w:rPr>
              <w:t>钢铁</w:t>
            </w:r>
            <w:r w:rsidRPr="00C64AE1">
              <w:rPr>
                <w:rFonts w:ascii="楷体" w:eastAsia="楷体" w:hAnsi="楷体" w:cs="Arial" w:hint="eastAsia"/>
                <w:bCs/>
                <w:kern w:val="0"/>
                <w:sz w:val="20"/>
                <w:szCs w:val="20"/>
              </w:rPr>
              <w:t>（-2.53%）、家用电器（-3.97%）、食品饮料（-6.77%）</w:t>
            </w:r>
          </w:p>
        </w:tc>
      </w:tr>
      <w:tr w:rsidR="00F70B15" w:rsidRPr="00C64AE1" w:rsidTr="00F70B15">
        <w:trPr>
          <w:trHeight w:val="240"/>
          <w:jc w:val="right"/>
        </w:trPr>
        <w:tc>
          <w:tcPr>
            <w:tcW w:w="312"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F70B15" w:rsidRPr="00C64AE1" w:rsidRDefault="00F70B15" w:rsidP="00100B70">
            <w:pPr>
              <w:jc w:val="center"/>
              <w:rPr>
                <w:rFonts w:ascii="楷体" w:eastAsia="楷体" w:hAnsi="楷体" w:cs="宋体"/>
                <w:b/>
                <w:bCs/>
                <w:sz w:val="20"/>
                <w:szCs w:val="20"/>
              </w:rPr>
            </w:pPr>
            <w:r w:rsidRPr="00C64AE1">
              <w:rPr>
                <w:rFonts w:ascii="楷体" w:eastAsia="楷体" w:hAnsi="楷体" w:cs="宋体" w:hint="eastAsia"/>
                <w:b/>
                <w:bCs/>
                <w:sz w:val="20"/>
                <w:szCs w:val="20"/>
              </w:rPr>
              <w:t>7月</w:t>
            </w:r>
          </w:p>
        </w:tc>
        <w:tc>
          <w:tcPr>
            <w:tcW w:w="862"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F70B15" w:rsidRPr="00C64AE1" w:rsidRDefault="00F70B15" w:rsidP="00100B70">
            <w:pPr>
              <w:jc w:val="center"/>
              <w:rPr>
                <w:rFonts w:ascii="楷体" w:eastAsia="楷体" w:hAnsi="楷体" w:cs="宋体"/>
                <w:sz w:val="20"/>
                <w:szCs w:val="20"/>
              </w:rPr>
            </w:pPr>
            <w:r w:rsidRPr="00C64AE1">
              <w:rPr>
                <w:rFonts w:ascii="楷体" w:eastAsia="楷体" w:hAnsi="楷体" w:cs="宋体" w:hint="eastAsia"/>
                <w:sz w:val="20"/>
                <w:szCs w:val="20"/>
              </w:rPr>
              <w:t>0.19%</w:t>
            </w:r>
          </w:p>
        </w:tc>
        <w:tc>
          <w:tcPr>
            <w:tcW w:w="3826" w:type="pct"/>
            <w:tcBorders>
              <w:top w:val="dotted" w:sz="4" w:space="0" w:color="auto"/>
              <w:left w:val="dotted" w:sz="4" w:space="0" w:color="auto"/>
              <w:bottom w:val="dotted" w:sz="4" w:space="0" w:color="auto"/>
              <w:right w:val="dotted" w:sz="4" w:space="0" w:color="auto"/>
            </w:tcBorders>
            <w:shd w:val="clear" w:color="auto" w:fill="D9D9D9" w:themeFill="background1" w:themeFillShade="D9"/>
            <w:noWrap/>
            <w:vAlign w:val="center"/>
          </w:tcPr>
          <w:p w:rsidR="00F70B15" w:rsidRPr="00C64AE1" w:rsidRDefault="00F70B15" w:rsidP="00100B70">
            <w:pPr>
              <w:keepNext/>
              <w:keepLines/>
              <w:widowControl/>
              <w:jc w:val="left"/>
              <w:rPr>
                <w:rFonts w:ascii="楷体" w:eastAsia="楷体" w:hAnsi="楷体" w:cs="Arial"/>
                <w:bCs/>
                <w:kern w:val="0"/>
                <w:sz w:val="20"/>
                <w:szCs w:val="20"/>
              </w:rPr>
            </w:pPr>
            <w:r w:rsidRPr="00C64AE1">
              <w:rPr>
                <w:rFonts w:ascii="楷体" w:eastAsia="楷体" w:hAnsi="楷体" w:cs="Arial" w:hint="eastAsia"/>
                <w:bCs/>
                <w:kern w:val="0"/>
                <w:sz w:val="20"/>
                <w:szCs w:val="20"/>
              </w:rPr>
              <w:t>钢铁（9.65%）、建筑材料（8.84%）、国防军工（4.68%）</w:t>
            </w:r>
          </w:p>
        </w:tc>
      </w:tr>
      <w:tr w:rsidR="00F70B15" w:rsidRPr="00C64AE1" w:rsidTr="00F70B15">
        <w:trPr>
          <w:trHeight w:val="240"/>
          <w:jc w:val="right"/>
        </w:trPr>
        <w:tc>
          <w:tcPr>
            <w:tcW w:w="312" w:type="pct"/>
            <w:tcBorders>
              <w:top w:val="dotted" w:sz="4" w:space="0" w:color="auto"/>
              <w:left w:val="dotted" w:sz="4" w:space="0" w:color="auto"/>
              <w:bottom w:val="dotted" w:sz="4" w:space="0" w:color="auto"/>
              <w:right w:val="dotted" w:sz="4" w:space="0" w:color="auto"/>
            </w:tcBorders>
            <w:vAlign w:val="center"/>
          </w:tcPr>
          <w:p w:rsidR="00F70B15" w:rsidRPr="00C64AE1" w:rsidRDefault="00F70B15" w:rsidP="00100B70">
            <w:pPr>
              <w:jc w:val="center"/>
              <w:rPr>
                <w:rFonts w:ascii="楷体" w:eastAsia="楷体" w:hAnsi="楷体" w:cs="宋体"/>
                <w:b/>
                <w:bCs/>
                <w:sz w:val="20"/>
                <w:szCs w:val="20"/>
              </w:rPr>
            </w:pPr>
            <w:r w:rsidRPr="00C64AE1">
              <w:rPr>
                <w:rFonts w:ascii="楷体" w:eastAsia="楷体" w:hAnsi="楷体" w:cs="宋体" w:hint="eastAsia"/>
                <w:b/>
                <w:bCs/>
                <w:sz w:val="20"/>
                <w:szCs w:val="20"/>
              </w:rPr>
              <w:t>8月</w:t>
            </w:r>
          </w:p>
        </w:tc>
        <w:tc>
          <w:tcPr>
            <w:tcW w:w="862" w:type="pct"/>
            <w:tcBorders>
              <w:top w:val="dotted" w:sz="4" w:space="0" w:color="auto"/>
              <w:left w:val="dotted" w:sz="4" w:space="0" w:color="auto"/>
              <w:bottom w:val="dotted" w:sz="4" w:space="0" w:color="auto"/>
              <w:right w:val="dotted" w:sz="4" w:space="0" w:color="auto"/>
            </w:tcBorders>
            <w:vAlign w:val="center"/>
          </w:tcPr>
          <w:p w:rsidR="00F70B15" w:rsidRPr="00C64AE1" w:rsidRDefault="00F70B15" w:rsidP="00100B70">
            <w:pPr>
              <w:jc w:val="center"/>
              <w:rPr>
                <w:rFonts w:ascii="楷体" w:eastAsia="楷体" w:hAnsi="楷体" w:cs="宋体"/>
                <w:sz w:val="20"/>
                <w:szCs w:val="20"/>
              </w:rPr>
            </w:pPr>
            <w:r w:rsidRPr="00C64AE1">
              <w:rPr>
                <w:rFonts w:ascii="楷体" w:eastAsia="楷体" w:hAnsi="楷体" w:cs="宋体" w:hint="eastAsia"/>
                <w:sz w:val="20"/>
                <w:szCs w:val="20"/>
              </w:rPr>
              <w:t>-5.21%</w:t>
            </w:r>
          </w:p>
        </w:tc>
        <w:tc>
          <w:tcPr>
            <w:tcW w:w="3826" w:type="pct"/>
            <w:tcBorders>
              <w:top w:val="dotted" w:sz="4" w:space="0" w:color="auto"/>
              <w:left w:val="dotted" w:sz="4" w:space="0" w:color="auto"/>
              <w:bottom w:val="dotted" w:sz="4" w:space="0" w:color="auto"/>
              <w:right w:val="dotted" w:sz="4" w:space="0" w:color="auto"/>
            </w:tcBorders>
            <w:shd w:val="clear" w:color="auto" w:fill="auto"/>
            <w:noWrap/>
            <w:vAlign w:val="center"/>
          </w:tcPr>
          <w:p w:rsidR="00F70B15" w:rsidRPr="00C64AE1" w:rsidRDefault="00F70B15" w:rsidP="00100B70">
            <w:pPr>
              <w:keepNext/>
              <w:keepLines/>
              <w:widowControl/>
              <w:jc w:val="left"/>
              <w:rPr>
                <w:rFonts w:ascii="楷体" w:eastAsia="楷体" w:hAnsi="楷体" w:cs="Arial"/>
                <w:bCs/>
                <w:kern w:val="0"/>
                <w:sz w:val="20"/>
                <w:szCs w:val="20"/>
              </w:rPr>
            </w:pPr>
            <w:r w:rsidRPr="00C64AE1">
              <w:rPr>
                <w:rFonts w:ascii="楷体" w:eastAsia="楷体" w:hAnsi="楷体" w:cs="Arial" w:hint="eastAsia"/>
                <w:bCs/>
                <w:kern w:val="0"/>
                <w:sz w:val="20"/>
                <w:szCs w:val="20"/>
              </w:rPr>
              <w:t>通信（0.28%）、银行（-0.98%）、非银金融（-2.88%）</w:t>
            </w:r>
          </w:p>
        </w:tc>
      </w:tr>
      <w:tr w:rsidR="00F70B15" w:rsidRPr="00C64AE1" w:rsidTr="00F70B15">
        <w:trPr>
          <w:trHeight w:val="240"/>
          <w:jc w:val="right"/>
        </w:trPr>
        <w:tc>
          <w:tcPr>
            <w:tcW w:w="312"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F70B15" w:rsidRPr="00C64AE1" w:rsidRDefault="00F70B15" w:rsidP="00100B70">
            <w:pPr>
              <w:jc w:val="center"/>
              <w:rPr>
                <w:rFonts w:ascii="楷体" w:eastAsia="楷体" w:hAnsi="楷体" w:cs="宋体"/>
                <w:b/>
                <w:bCs/>
                <w:sz w:val="20"/>
                <w:szCs w:val="20"/>
              </w:rPr>
            </w:pPr>
            <w:bookmarkStart w:id="29" w:name="_Hlk522912559"/>
            <w:r w:rsidRPr="00C64AE1">
              <w:rPr>
                <w:rFonts w:ascii="楷体" w:eastAsia="楷体" w:hAnsi="楷体" w:cs="宋体" w:hint="eastAsia"/>
                <w:b/>
                <w:bCs/>
                <w:sz w:val="20"/>
                <w:szCs w:val="20"/>
              </w:rPr>
              <w:t>9月</w:t>
            </w:r>
          </w:p>
        </w:tc>
        <w:tc>
          <w:tcPr>
            <w:tcW w:w="862"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F70B15" w:rsidRPr="00C64AE1" w:rsidRDefault="00F70B15" w:rsidP="00100B70">
            <w:pPr>
              <w:jc w:val="center"/>
              <w:rPr>
                <w:rFonts w:ascii="楷体" w:eastAsia="楷体" w:hAnsi="楷体" w:cs="宋体"/>
                <w:sz w:val="20"/>
                <w:szCs w:val="20"/>
              </w:rPr>
            </w:pPr>
            <w:r w:rsidRPr="00C64AE1">
              <w:rPr>
                <w:rFonts w:ascii="楷体" w:eastAsia="楷体" w:hAnsi="楷体" w:cs="宋体" w:hint="eastAsia"/>
                <w:sz w:val="20"/>
                <w:szCs w:val="20"/>
              </w:rPr>
              <w:t>3.13%</w:t>
            </w:r>
          </w:p>
        </w:tc>
        <w:tc>
          <w:tcPr>
            <w:tcW w:w="3826" w:type="pct"/>
            <w:tcBorders>
              <w:top w:val="dotted" w:sz="4" w:space="0" w:color="auto"/>
              <w:left w:val="dotted" w:sz="4" w:space="0" w:color="auto"/>
              <w:bottom w:val="dotted" w:sz="4" w:space="0" w:color="auto"/>
              <w:right w:val="dotted" w:sz="4" w:space="0" w:color="auto"/>
            </w:tcBorders>
            <w:shd w:val="clear" w:color="auto" w:fill="D9D9D9" w:themeFill="background1" w:themeFillShade="D9"/>
            <w:noWrap/>
            <w:vAlign w:val="center"/>
          </w:tcPr>
          <w:p w:rsidR="00F70B15" w:rsidRPr="00C64AE1" w:rsidRDefault="00F70B15" w:rsidP="00100B70">
            <w:pPr>
              <w:keepNext/>
              <w:keepLines/>
              <w:widowControl/>
              <w:jc w:val="left"/>
              <w:rPr>
                <w:rFonts w:ascii="楷体" w:eastAsia="楷体" w:hAnsi="楷体" w:cs="Arial"/>
                <w:bCs/>
                <w:kern w:val="0"/>
                <w:sz w:val="20"/>
                <w:szCs w:val="20"/>
              </w:rPr>
            </w:pPr>
            <w:r w:rsidRPr="00C64AE1">
              <w:rPr>
                <w:rFonts w:ascii="楷体" w:eastAsia="楷体" w:hAnsi="楷体" w:cs="Arial" w:hint="eastAsia"/>
                <w:bCs/>
                <w:kern w:val="0"/>
                <w:sz w:val="20"/>
                <w:szCs w:val="20"/>
              </w:rPr>
              <w:t>国防军工（3.52%）</w:t>
            </w:r>
          </w:p>
        </w:tc>
      </w:tr>
      <w:bookmarkEnd w:id="29"/>
      <w:tr w:rsidR="00F70B15" w:rsidRPr="00C64AE1" w:rsidTr="00F70B15">
        <w:trPr>
          <w:trHeight w:val="240"/>
          <w:jc w:val="right"/>
        </w:trPr>
        <w:tc>
          <w:tcPr>
            <w:tcW w:w="312" w:type="pct"/>
            <w:tcBorders>
              <w:top w:val="dotted" w:sz="4" w:space="0" w:color="auto"/>
              <w:left w:val="dotted" w:sz="4" w:space="0" w:color="auto"/>
              <w:bottom w:val="dotted" w:sz="4" w:space="0" w:color="auto"/>
              <w:right w:val="dotted" w:sz="4" w:space="0" w:color="auto"/>
            </w:tcBorders>
            <w:vAlign w:val="center"/>
          </w:tcPr>
          <w:p w:rsidR="00F70B15" w:rsidRPr="00C64AE1" w:rsidRDefault="00F70B15" w:rsidP="00100B70">
            <w:pPr>
              <w:jc w:val="center"/>
              <w:rPr>
                <w:rFonts w:ascii="楷体" w:eastAsia="楷体" w:hAnsi="楷体" w:cs="宋体"/>
                <w:b/>
                <w:bCs/>
                <w:sz w:val="20"/>
                <w:szCs w:val="20"/>
              </w:rPr>
            </w:pPr>
            <w:r w:rsidRPr="00C64AE1">
              <w:rPr>
                <w:rFonts w:ascii="楷体" w:eastAsia="楷体" w:hAnsi="楷体" w:cs="宋体" w:hint="eastAsia"/>
                <w:b/>
                <w:bCs/>
                <w:sz w:val="20"/>
                <w:szCs w:val="20"/>
              </w:rPr>
              <w:t>10月</w:t>
            </w:r>
          </w:p>
        </w:tc>
        <w:tc>
          <w:tcPr>
            <w:tcW w:w="862" w:type="pct"/>
            <w:tcBorders>
              <w:top w:val="dotted" w:sz="4" w:space="0" w:color="auto"/>
              <w:left w:val="dotted" w:sz="4" w:space="0" w:color="auto"/>
              <w:bottom w:val="dotted" w:sz="4" w:space="0" w:color="auto"/>
              <w:right w:val="dotted" w:sz="4" w:space="0" w:color="auto"/>
            </w:tcBorders>
            <w:vAlign w:val="center"/>
          </w:tcPr>
          <w:p w:rsidR="00F70B15" w:rsidRPr="00C64AE1" w:rsidRDefault="00F70B15" w:rsidP="00100B70">
            <w:pPr>
              <w:jc w:val="center"/>
              <w:rPr>
                <w:rFonts w:ascii="楷体" w:eastAsia="楷体" w:hAnsi="楷体" w:cs="宋体"/>
                <w:sz w:val="20"/>
                <w:szCs w:val="20"/>
              </w:rPr>
            </w:pPr>
            <w:r w:rsidRPr="00C64AE1">
              <w:rPr>
                <w:rFonts w:ascii="楷体" w:eastAsia="楷体" w:hAnsi="楷体" w:cs="宋体" w:hint="eastAsia"/>
                <w:sz w:val="20"/>
                <w:szCs w:val="20"/>
              </w:rPr>
              <w:t>-8.29%</w:t>
            </w:r>
          </w:p>
        </w:tc>
        <w:tc>
          <w:tcPr>
            <w:tcW w:w="3826" w:type="pct"/>
            <w:tcBorders>
              <w:top w:val="dotted" w:sz="4" w:space="0" w:color="auto"/>
              <w:left w:val="dotted" w:sz="4" w:space="0" w:color="auto"/>
              <w:bottom w:val="dotted" w:sz="4" w:space="0" w:color="auto"/>
              <w:right w:val="dotted" w:sz="4" w:space="0" w:color="auto"/>
            </w:tcBorders>
            <w:shd w:val="clear" w:color="auto" w:fill="auto"/>
            <w:noWrap/>
            <w:vAlign w:val="center"/>
          </w:tcPr>
          <w:p w:rsidR="00F70B15" w:rsidRPr="00C64AE1" w:rsidRDefault="00F70B15" w:rsidP="00100B70">
            <w:pPr>
              <w:keepNext/>
              <w:keepLines/>
              <w:widowControl/>
              <w:jc w:val="left"/>
              <w:rPr>
                <w:rFonts w:ascii="楷体" w:eastAsia="楷体" w:hAnsi="楷体" w:cs="Arial"/>
                <w:bCs/>
                <w:kern w:val="0"/>
                <w:sz w:val="20"/>
                <w:szCs w:val="20"/>
              </w:rPr>
            </w:pPr>
            <w:r w:rsidRPr="00C64AE1">
              <w:rPr>
                <w:rFonts w:ascii="楷体" w:eastAsia="楷体" w:hAnsi="楷体" w:cs="Arial" w:hint="eastAsia"/>
                <w:bCs/>
                <w:kern w:val="0"/>
                <w:sz w:val="20"/>
                <w:szCs w:val="20"/>
              </w:rPr>
              <w:t>银行（-0.80%）、非银金融（-2.49%）</w:t>
            </w:r>
          </w:p>
        </w:tc>
      </w:tr>
      <w:tr w:rsidR="00F70B15" w:rsidRPr="00C64AE1" w:rsidTr="0076374E">
        <w:trPr>
          <w:trHeight w:val="240"/>
          <w:jc w:val="right"/>
        </w:trPr>
        <w:tc>
          <w:tcPr>
            <w:tcW w:w="312"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F70B15" w:rsidRPr="00C64AE1" w:rsidRDefault="00F70B15" w:rsidP="00100B70">
            <w:pPr>
              <w:jc w:val="center"/>
              <w:rPr>
                <w:rFonts w:ascii="楷体" w:eastAsia="楷体" w:hAnsi="楷体" w:cs="宋体"/>
                <w:b/>
                <w:bCs/>
                <w:sz w:val="20"/>
                <w:szCs w:val="20"/>
              </w:rPr>
            </w:pPr>
            <w:r w:rsidRPr="00C64AE1">
              <w:rPr>
                <w:rFonts w:ascii="楷体" w:eastAsia="楷体" w:hAnsi="楷体" w:cs="宋体" w:hint="eastAsia"/>
                <w:b/>
                <w:bCs/>
                <w:sz w:val="20"/>
                <w:szCs w:val="20"/>
              </w:rPr>
              <w:t>11月</w:t>
            </w:r>
          </w:p>
        </w:tc>
        <w:tc>
          <w:tcPr>
            <w:tcW w:w="862" w:type="pct"/>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F70B15" w:rsidRPr="00C64AE1" w:rsidRDefault="00510BBA" w:rsidP="00100B70">
            <w:pPr>
              <w:jc w:val="center"/>
              <w:rPr>
                <w:rFonts w:ascii="楷体" w:eastAsia="楷体" w:hAnsi="楷体" w:cs="宋体"/>
                <w:sz w:val="20"/>
                <w:szCs w:val="20"/>
              </w:rPr>
            </w:pPr>
            <w:r w:rsidRPr="00C64AE1">
              <w:rPr>
                <w:rFonts w:ascii="楷体" w:eastAsia="楷体" w:hAnsi="楷体" w:cs="宋体" w:hint="eastAsia"/>
                <w:sz w:val="20"/>
                <w:szCs w:val="20"/>
              </w:rPr>
              <w:t>0.60%</w:t>
            </w:r>
          </w:p>
        </w:tc>
        <w:tc>
          <w:tcPr>
            <w:tcW w:w="3826" w:type="pct"/>
            <w:tcBorders>
              <w:top w:val="dotted" w:sz="4" w:space="0" w:color="auto"/>
              <w:left w:val="dotted" w:sz="4" w:space="0" w:color="auto"/>
              <w:bottom w:val="dotted" w:sz="4" w:space="0" w:color="auto"/>
              <w:right w:val="dotted" w:sz="4" w:space="0" w:color="auto"/>
            </w:tcBorders>
            <w:shd w:val="clear" w:color="auto" w:fill="D9D9D9" w:themeFill="background1" w:themeFillShade="D9"/>
            <w:noWrap/>
            <w:vAlign w:val="center"/>
          </w:tcPr>
          <w:p w:rsidR="00F70B15" w:rsidRPr="00C64AE1" w:rsidRDefault="00510BBA" w:rsidP="00510BBA">
            <w:pPr>
              <w:keepNext/>
              <w:keepLines/>
              <w:widowControl/>
              <w:jc w:val="left"/>
              <w:rPr>
                <w:rFonts w:ascii="楷体" w:eastAsia="楷体" w:hAnsi="楷体" w:cs="Arial"/>
                <w:bCs/>
                <w:kern w:val="0"/>
                <w:sz w:val="20"/>
                <w:szCs w:val="20"/>
              </w:rPr>
            </w:pPr>
            <w:r w:rsidRPr="00C64AE1">
              <w:rPr>
                <w:rFonts w:ascii="楷体" w:eastAsia="楷体" w:hAnsi="楷体" w:cs="Arial" w:hint="eastAsia"/>
                <w:bCs/>
                <w:kern w:val="0"/>
                <w:sz w:val="20"/>
                <w:szCs w:val="20"/>
              </w:rPr>
              <w:t>传媒（4.37%）、计算机（4.47%）、轻工制造（5.00%）、通信（7.05%）</w:t>
            </w:r>
          </w:p>
        </w:tc>
      </w:tr>
      <w:tr w:rsidR="0076374E" w:rsidRPr="00C64AE1" w:rsidTr="00F70B15">
        <w:trPr>
          <w:trHeight w:val="240"/>
          <w:jc w:val="right"/>
        </w:trPr>
        <w:tc>
          <w:tcPr>
            <w:tcW w:w="312" w:type="pct"/>
            <w:tcBorders>
              <w:top w:val="dotted" w:sz="4" w:space="0" w:color="auto"/>
              <w:left w:val="dotted" w:sz="4" w:space="0" w:color="auto"/>
              <w:bottom w:val="single" w:sz="12" w:space="0" w:color="C00000"/>
              <w:right w:val="dotted" w:sz="4" w:space="0" w:color="auto"/>
            </w:tcBorders>
            <w:vAlign w:val="center"/>
          </w:tcPr>
          <w:p w:rsidR="0076374E" w:rsidRPr="00C64AE1" w:rsidRDefault="0076374E" w:rsidP="00100B70">
            <w:pPr>
              <w:jc w:val="center"/>
              <w:rPr>
                <w:rFonts w:ascii="楷体" w:eastAsia="楷体" w:hAnsi="楷体" w:cs="宋体"/>
                <w:b/>
                <w:bCs/>
                <w:sz w:val="20"/>
                <w:szCs w:val="20"/>
              </w:rPr>
            </w:pPr>
            <w:r w:rsidRPr="00C64AE1">
              <w:rPr>
                <w:rFonts w:ascii="楷体" w:eastAsia="楷体" w:hAnsi="楷体" w:cs="宋体" w:hint="eastAsia"/>
                <w:b/>
                <w:bCs/>
                <w:sz w:val="20"/>
                <w:szCs w:val="20"/>
              </w:rPr>
              <w:t>12月</w:t>
            </w:r>
          </w:p>
        </w:tc>
        <w:tc>
          <w:tcPr>
            <w:tcW w:w="862" w:type="pct"/>
            <w:tcBorders>
              <w:top w:val="dotted" w:sz="4" w:space="0" w:color="auto"/>
              <w:left w:val="dotted" w:sz="4" w:space="0" w:color="auto"/>
              <w:bottom w:val="single" w:sz="12" w:space="0" w:color="C00000"/>
              <w:right w:val="dotted" w:sz="4" w:space="0" w:color="auto"/>
            </w:tcBorders>
            <w:vAlign w:val="center"/>
          </w:tcPr>
          <w:p w:rsidR="0076374E" w:rsidRPr="00C64AE1" w:rsidRDefault="0076374E" w:rsidP="00100B70">
            <w:pPr>
              <w:jc w:val="center"/>
              <w:rPr>
                <w:rFonts w:ascii="楷体" w:eastAsia="楷体" w:hAnsi="楷体" w:cs="宋体"/>
                <w:sz w:val="20"/>
                <w:szCs w:val="20"/>
              </w:rPr>
            </w:pPr>
            <w:r w:rsidRPr="00C64AE1">
              <w:rPr>
                <w:rFonts w:ascii="楷体" w:eastAsia="楷体" w:hAnsi="楷体" w:cs="宋体"/>
                <w:sz w:val="20"/>
                <w:szCs w:val="20"/>
              </w:rPr>
              <w:t>-5.11%</w:t>
            </w:r>
          </w:p>
        </w:tc>
        <w:tc>
          <w:tcPr>
            <w:tcW w:w="3826" w:type="pct"/>
            <w:tcBorders>
              <w:top w:val="dotted" w:sz="4" w:space="0" w:color="auto"/>
              <w:left w:val="dotted" w:sz="4" w:space="0" w:color="auto"/>
              <w:bottom w:val="single" w:sz="12" w:space="0" w:color="C00000"/>
              <w:right w:val="dotted" w:sz="4" w:space="0" w:color="auto"/>
            </w:tcBorders>
            <w:shd w:val="clear" w:color="auto" w:fill="auto"/>
            <w:noWrap/>
            <w:vAlign w:val="center"/>
          </w:tcPr>
          <w:p w:rsidR="0076374E" w:rsidRPr="00C64AE1" w:rsidRDefault="0076374E" w:rsidP="00510BBA">
            <w:pPr>
              <w:keepNext/>
              <w:keepLines/>
              <w:widowControl/>
              <w:jc w:val="left"/>
              <w:rPr>
                <w:rFonts w:ascii="楷体" w:eastAsia="楷体" w:hAnsi="楷体" w:cs="Arial"/>
                <w:bCs/>
                <w:kern w:val="0"/>
                <w:sz w:val="20"/>
                <w:szCs w:val="20"/>
              </w:rPr>
            </w:pPr>
            <w:r w:rsidRPr="00C64AE1">
              <w:rPr>
                <w:rFonts w:ascii="楷体" w:eastAsia="楷体" w:hAnsi="楷体" w:cs="Arial" w:hint="eastAsia"/>
                <w:bCs/>
                <w:kern w:val="0"/>
                <w:sz w:val="20"/>
                <w:szCs w:val="20"/>
              </w:rPr>
              <w:t>休闲服务（0.06%）、电气设备（-2.72%）、建筑装饰（-2.77%）</w:t>
            </w:r>
          </w:p>
        </w:tc>
      </w:tr>
    </w:tbl>
    <w:p w:rsidR="00700EDA" w:rsidRPr="00C64AE1" w:rsidRDefault="00700EDA" w:rsidP="000A7B61">
      <w:pPr>
        <w:widowControl/>
        <w:ind w:firstLineChars="100" w:firstLine="200"/>
        <w:jc w:val="left"/>
        <w:rPr>
          <w:rFonts w:ascii="楷体" w:eastAsia="楷体" w:hAnsi="楷体" w:cs="Times New Roman"/>
          <w:sz w:val="20"/>
          <w:szCs w:val="20"/>
        </w:rPr>
      </w:pPr>
      <w:r w:rsidRPr="00C64AE1">
        <w:rPr>
          <w:rFonts w:ascii="楷体" w:eastAsia="楷体" w:hAnsi="楷体" w:cs="Times New Roman" w:hint="eastAsia"/>
          <w:sz w:val="20"/>
          <w:szCs w:val="20"/>
        </w:rPr>
        <w:t>资料来源：Wind、中山证券研究所</w:t>
      </w:r>
    </w:p>
    <w:p w:rsidR="00EE4F60" w:rsidRPr="00C64AE1" w:rsidRDefault="00EE4F60" w:rsidP="00446770">
      <w:pPr>
        <w:widowControl/>
        <w:spacing w:beforeLines="50" w:line="312" w:lineRule="auto"/>
        <w:ind w:leftChars="1200" w:left="2520" w:firstLineChars="200" w:firstLine="420"/>
        <w:rPr>
          <w:rFonts w:ascii="楷体" w:eastAsia="楷体" w:hAnsi="楷体" w:cs="Times New Roman"/>
          <w:szCs w:val="21"/>
        </w:rPr>
      </w:pPr>
      <w:r w:rsidRPr="00C64AE1">
        <w:rPr>
          <w:rFonts w:ascii="楷体" w:eastAsia="楷体" w:hAnsi="楷体" w:cs="Times New Roman" w:hint="eastAsia"/>
          <w:szCs w:val="21"/>
        </w:rPr>
        <w:t>2018年6、8、10月大盘分别下挫7.66%、5.21%与8.29%，但6月推荐的钢铁（-2.53%）、家用电器（-3.97%）等行业，8月推荐的通信（0.28%）、银行（-0.98%）、非银金融（-2.88%）等行业</w:t>
      </w:r>
      <w:r w:rsidR="00510BBA" w:rsidRPr="00C64AE1">
        <w:rPr>
          <w:rFonts w:ascii="楷体" w:eastAsia="楷体" w:hAnsi="楷体" w:cs="Times New Roman" w:hint="eastAsia"/>
          <w:szCs w:val="21"/>
        </w:rPr>
        <w:t>、</w:t>
      </w:r>
      <w:r w:rsidRPr="00C64AE1">
        <w:rPr>
          <w:rFonts w:ascii="楷体" w:eastAsia="楷体" w:hAnsi="楷体" w:cs="Times New Roman" w:hint="eastAsia"/>
          <w:szCs w:val="21"/>
        </w:rPr>
        <w:t>10月重点推荐的银行（-0.80%）与非银金融（-2.49%）均跑赢沪深300，获相对收益。综上，2018年5-1</w:t>
      </w:r>
      <w:r w:rsidR="007B5904" w:rsidRPr="00C64AE1">
        <w:rPr>
          <w:rFonts w:ascii="楷体" w:eastAsia="楷体" w:hAnsi="楷体" w:cs="Times New Roman" w:hint="eastAsia"/>
          <w:szCs w:val="21"/>
        </w:rPr>
        <w:t>1</w:t>
      </w:r>
      <w:r w:rsidRPr="00C64AE1">
        <w:rPr>
          <w:rFonts w:ascii="楷体" w:eastAsia="楷体" w:hAnsi="楷体" w:cs="Times New Roman" w:hint="eastAsia"/>
          <w:szCs w:val="21"/>
        </w:rPr>
        <w:t>月依据择时模型重点推荐的申万行业整体表现符合预期。</w:t>
      </w:r>
    </w:p>
    <w:p w:rsidR="00F24122" w:rsidRPr="00C64AE1" w:rsidRDefault="00F24122" w:rsidP="00446770">
      <w:pPr>
        <w:keepNext/>
        <w:widowControl/>
        <w:numPr>
          <w:ilvl w:val="2"/>
          <w:numId w:val="0"/>
        </w:numPr>
        <w:spacing w:beforeLines="50" w:afterLines="50" w:line="360" w:lineRule="auto"/>
        <w:ind w:leftChars="1200" w:left="3122" w:hangingChars="250" w:hanging="602"/>
        <w:outlineLvl w:val="2"/>
        <w:rPr>
          <w:rFonts w:ascii="楷体" w:eastAsia="楷体" w:hAnsi="楷体" w:cs="Times New Roman"/>
          <w:b/>
          <w:sz w:val="24"/>
        </w:rPr>
      </w:pPr>
      <w:bookmarkStart w:id="30" w:name="_Toc531856908"/>
      <w:r w:rsidRPr="00C64AE1">
        <w:rPr>
          <w:rFonts w:ascii="楷体" w:eastAsia="楷体" w:hAnsi="楷体" w:cs="Times New Roman" w:hint="eastAsia"/>
          <w:b/>
          <w:sz w:val="24"/>
        </w:rPr>
        <w:lastRenderedPageBreak/>
        <w:t>1.6.3  量化对冲与指数增强策略</w:t>
      </w:r>
      <w:r w:rsidR="005030D2" w:rsidRPr="00C64AE1">
        <w:rPr>
          <w:rFonts w:ascii="楷体" w:eastAsia="楷体" w:hAnsi="楷体" w:cs="Times New Roman" w:hint="eastAsia"/>
          <w:b/>
          <w:sz w:val="24"/>
        </w:rPr>
        <w:t>业绩</w:t>
      </w:r>
      <w:r w:rsidRPr="00C64AE1">
        <w:rPr>
          <w:rFonts w:ascii="楷体" w:eastAsia="楷体" w:hAnsi="楷体" w:cs="Times New Roman" w:hint="eastAsia"/>
          <w:b/>
          <w:sz w:val="24"/>
        </w:rPr>
        <w:t>强于市</w:t>
      </w:r>
      <w:bookmarkEnd w:id="30"/>
    </w:p>
    <w:p w:rsidR="007E541F" w:rsidRPr="00C64AE1" w:rsidRDefault="007E541F" w:rsidP="00446770">
      <w:pPr>
        <w:widowControl/>
        <w:spacing w:beforeLines="50" w:afterLines="50" w:line="312" w:lineRule="auto"/>
        <w:ind w:leftChars="1200" w:left="2520" w:firstLineChars="200" w:firstLine="420"/>
        <w:rPr>
          <w:rFonts w:ascii="楷体" w:eastAsia="楷体" w:hAnsi="楷体" w:cs="Times New Roman"/>
        </w:rPr>
      </w:pPr>
      <w:bookmarkStart w:id="31" w:name="_Toc531856909"/>
      <w:r w:rsidRPr="00C64AE1">
        <w:rPr>
          <w:rFonts w:ascii="楷体" w:eastAsia="楷体" w:hAnsi="楷体" w:cs="Times New Roman" w:hint="eastAsia"/>
        </w:rPr>
        <w:t>多因子对冲与指数增强策略方面，截止2018年12月28日，全市场基本面选股对冲中证500策略组合相对收益17.02%。全市场基本面多因子选股（中证500指数增强）策略2018年收益-18.59%，相对中证5</w:t>
      </w:r>
      <w:r w:rsidRPr="00C64AE1">
        <w:rPr>
          <w:rFonts w:ascii="楷体" w:eastAsia="楷体" w:hAnsi="楷体" w:cs="Times New Roman"/>
        </w:rPr>
        <w:t>00</w:t>
      </w:r>
      <w:r w:rsidRPr="00C64AE1">
        <w:rPr>
          <w:rFonts w:ascii="楷体" w:eastAsia="楷体" w:hAnsi="楷体" w:cs="Times New Roman" w:hint="eastAsia"/>
        </w:rPr>
        <w:t>超额收益14.73%。</w:t>
      </w:r>
    </w:p>
    <w:tbl>
      <w:tblPr>
        <w:tblW w:w="10157" w:type="dxa"/>
        <w:jc w:val="center"/>
        <w:tblLayout w:type="fixed"/>
        <w:tblCellMar>
          <w:left w:w="0" w:type="dxa"/>
          <w:right w:w="0" w:type="dxa"/>
        </w:tblCellMar>
        <w:tblLook w:val="01E0"/>
      </w:tblPr>
      <w:tblGrid>
        <w:gridCol w:w="5051"/>
        <w:gridCol w:w="56"/>
        <w:gridCol w:w="5050"/>
      </w:tblGrid>
      <w:tr w:rsidR="007E541F" w:rsidRPr="00C64AE1" w:rsidTr="00023874">
        <w:trPr>
          <w:trHeight w:hRule="exact" w:val="323"/>
          <w:jc w:val="center"/>
        </w:trPr>
        <w:tc>
          <w:tcPr>
            <w:tcW w:w="5051" w:type="dxa"/>
            <w:tcBorders>
              <w:bottom w:val="single" w:sz="12" w:space="0" w:color="CC0000"/>
            </w:tcBorders>
            <w:shd w:val="clear" w:color="auto" w:fill="auto"/>
            <w:noWrap/>
            <w:vAlign w:val="bottom"/>
          </w:tcPr>
          <w:p w:rsidR="007E541F" w:rsidRPr="00C64AE1" w:rsidRDefault="007E541F" w:rsidP="00023874">
            <w:pPr>
              <w:keepLines/>
              <w:rPr>
                <w:rFonts w:ascii="楷体" w:eastAsia="楷体" w:hAnsi="楷体" w:cs="Times New Roman"/>
                <w:sz w:val="20"/>
                <w:szCs w:val="20"/>
              </w:rPr>
            </w:pPr>
            <w:r w:rsidRPr="00C64AE1">
              <w:rPr>
                <w:rFonts w:ascii="楷体" w:eastAsia="楷体" w:hAnsi="楷体" w:cs="Times New Roman"/>
                <w:sz w:val="20"/>
                <w:szCs w:val="20"/>
              </w:rPr>
              <w:t>图</w:t>
            </w:r>
            <w:r w:rsidRPr="00C64AE1">
              <w:rPr>
                <w:rFonts w:ascii="楷体" w:eastAsia="楷体" w:hAnsi="楷体" w:cs="Times New Roman" w:hint="eastAsia"/>
                <w:sz w:val="20"/>
                <w:szCs w:val="20"/>
              </w:rPr>
              <w:t>18</w:t>
            </w:r>
            <w:r w:rsidRPr="00C64AE1">
              <w:rPr>
                <w:rFonts w:ascii="楷体" w:eastAsia="楷体" w:hAnsi="楷体" w:cs="Times New Roman"/>
                <w:sz w:val="20"/>
                <w:szCs w:val="20"/>
              </w:rPr>
              <w:t xml:space="preserve">  </w:t>
            </w:r>
            <w:r w:rsidRPr="00C64AE1">
              <w:rPr>
                <w:rFonts w:ascii="楷体" w:eastAsia="楷体" w:hAnsi="楷体" w:cs="Times New Roman" w:hint="eastAsia"/>
                <w:sz w:val="20"/>
                <w:szCs w:val="20"/>
              </w:rPr>
              <w:t>(全市场基本面选股对冲中证500净值走势图)</w:t>
            </w:r>
          </w:p>
        </w:tc>
        <w:tc>
          <w:tcPr>
            <w:tcW w:w="56" w:type="dxa"/>
            <w:shd w:val="clear" w:color="auto" w:fill="auto"/>
            <w:vAlign w:val="bottom"/>
          </w:tcPr>
          <w:p w:rsidR="007E541F" w:rsidRPr="00C64AE1" w:rsidRDefault="007E541F" w:rsidP="00023874">
            <w:pPr>
              <w:keepLines/>
              <w:rPr>
                <w:rFonts w:ascii="楷体" w:eastAsia="楷体" w:hAnsi="楷体" w:cs="Times New Roman"/>
                <w:sz w:val="20"/>
                <w:szCs w:val="20"/>
              </w:rPr>
            </w:pPr>
          </w:p>
        </w:tc>
        <w:tc>
          <w:tcPr>
            <w:tcW w:w="5050" w:type="dxa"/>
            <w:tcBorders>
              <w:bottom w:val="single" w:sz="12" w:space="0" w:color="CC0000"/>
            </w:tcBorders>
            <w:shd w:val="clear" w:color="auto" w:fill="auto"/>
            <w:noWrap/>
            <w:vAlign w:val="bottom"/>
          </w:tcPr>
          <w:p w:rsidR="007E541F" w:rsidRPr="00C64AE1" w:rsidRDefault="007E541F" w:rsidP="00023874">
            <w:pPr>
              <w:keepLines/>
              <w:rPr>
                <w:rFonts w:ascii="楷体" w:eastAsia="楷体" w:hAnsi="楷体" w:cs="Times New Roman"/>
                <w:sz w:val="20"/>
                <w:szCs w:val="20"/>
              </w:rPr>
            </w:pPr>
            <w:r w:rsidRPr="00C64AE1">
              <w:rPr>
                <w:rFonts w:ascii="楷体" w:eastAsia="楷体" w:hAnsi="楷体" w:cs="Times New Roman"/>
                <w:sz w:val="20"/>
                <w:szCs w:val="20"/>
              </w:rPr>
              <w:t>图</w:t>
            </w:r>
            <w:r w:rsidRPr="00C64AE1">
              <w:rPr>
                <w:rFonts w:ascii="楷体" w:eastAsia="楷体" w:hAnsi="楷体" w:cs="Times New Roman" w:hint="eastAsia"/>
                <w:sz w:val="20"/>
                <w:szCs w:val="20"/>
              </w:rPr>
              <w:t>19</w:t>
            </w:r>
            <w:r w:rsidRPr="00C64AE1">
              <w:rPr>
                <w:rFonts w:ascii="楷体" w:eastAsia="楷体" w:hAnsi="楷体" w:cs="Times New Roman"/>
                <w:sz w:val="20"/>
                <w:szCs w:val="20"/>
              </w:rPr>
              <w:t xml:space="preserve">  </w:t>
            </w:r>
            <w:r w:rsidRPr="00C64AE1">
              <w:rPr>
                <w:rFonts w:ascii="楷体" w:eastAsia="楷体" w:hAnsi="楷体" w:cs="Times New Roman" w:hint="eastAsia"/>
                <w:sz w:val="20"/>
                <w:szCs w:val="20"/>
              </w:rPr>
              <w:t>(全市场选股指数增强策略净值走势图)</w:t>
            </w:r>
          </w:p>
        </w:tc>
      </w:tr>
      <w:tr w:rsidR="007E541F" w:rsidRPr="00C64AE1" w:rsidTr="00023874">
        <w:trPr>
          <w:trHeight w:hRule="exact" w:val="2839"/>
          <w:jc w:val="center"/>
        </w:trPr>
        <w:tc>
          <w:tcPr>
            <w:tcW w:w="5051" w:type="dxa"/>
            <w:tcBorders>
              <w:top w:val="single" w:sz="12" w:space="0" w:color="CC0000"/>
              <w:bottom w:val="single" w:sz="12" w:space="0" w:color="CC0000"/>
            </w:tcBorders>
            <w:shd w:val="clear" w:color="auto" w:fill="auto"/>
            <w:noWrap/>
          </w:tcPr>
          <w:p w:rsidR="007E541F" w:rsidRPr="00C64AE1" w:rsidRDefault="007E541F" w:rsidP="00023874">
            <w:pPr>
              <w:keepLines/>
              <w:jc w:val="center"/>
              <w:rPr>
                <w:rFonts w:ascii="楷体" w:eastAsia="楷体" w:hAnsi="楷体" w:cs="Times New Roman"/>
                <w:szCs w:val="24"/>
              </w:rPr>
            </w:pPr>
            <w:r w:rsidRPr="00C64AE1">
              <w:rPr>
                <w:noProof/>
              </w:rPr>
              <w:drawing>
                <wp:inline distT="0" distB="0" distL="0" distR="0">
                  <wp:extent cx="3207385" cy="171958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07385" cy="1719580"/>
                          </a:xfrm>
                          <a:prstGeom prst="rect">
                            <a:avLst/>
                          </a:prstGeom>
                        </pic:spPr>
                      </pic:pic>
                    </a:graphicData>
                  </a:graphic>
                </wp:inline>
              </w:drawing>
            </w:r>
          </w:p>
        </w:tc>
        <w:tc>
          <w:tcPr>
            <w:tcW w:w="56" w:type="dxa"/>
            <w:shd w:val="clear" w:color="auto" w:fill="FFFFFF"/>
          </w:tcPr>
          <w:p w:rsidR="007E541F" w:rsidRPr="00C64AE1" w:rsidRDefault="007E541F" w:rsidP="00023874">
            <w:pPr>
              <w:keepLines/>
              <w:ind w:firstLine="420"/>
              <w:jc w:val="center"/>
              <w:rPr>
                <w:rFonts w:ascii="楷体" w:eastAsia="楷体" w:hAnsi="楷体" w:cs="Times New Roman"/>
                <w:szCs w:val="24"/>
              </w:rPr>
            </w:pPr>
          </w:p>
        </w:tc>
        <w:tc>
          <w:tcPr>
            <w:tcW w:w="5050" w:type="dxa"/>
            <w:tcBorders>
              <w:top w:val="single" w:sz="12" w:space="0" w:color="CC0000"/>
              <w:bottom w:val="single" w:sz="12" w:space="0" w:color="CC0000"/>
            </w:tcBorders>
            <w:shd w:val="clear" w:color="auto" w:fill="auto"/>
            <w:noWrap/>
          </w:tcPr>
          <w:p w:rsidR="007E541F" w:rsidRPr="00C64AE1" w:rsidRDefault="007E541F" w:rsidP="00023874">
            <w:pPr>
              <w:keepLines/>
              <w:jc w:val="center"/>
              <w:rPr>
                <w:rFonts w:ascii="楷体" w:eastAsia="楷体" w:hAnsi="楷体" w:cs="Times New Roman"/>
                <w:szCs w:val="24"/>
              </w:rPr>
            </w:pPr>
            <w:r w:rsidRPr="00C64AE1">
              <w:rPr>
                <w:noProof/>
              </w:rPr>
              <w:drawing>
                <wp:inline distT="0" distB="0" distL="0" distR="0">
                  <wp:extent cx="3206750" cy="171640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06750" cy="1716405"/>
                          </a:xfrm>
                          <a:prstGeom prst="rect">
                            <a:avLst/>
                          </a:prstGeom>
                        </pic:spPr>
                      </pic:pic>
                    </a:graphicData>
                  </a:graphic>
                </wp:inline>
              </w:drawing>
            </w:r>
          </w:p>
        </w:tc>
      </w:tr>
      <w:tr w:rsidR="007E541F" w:rsidRPr="00C64AE1" w:rsidTr="00023874">
        <w:trPr>
          <w:trHeight w:val="256"/>
          <w:jc w:val="center"/>
        </w:trPr>
        <w:tc>
          <w:tcPr>
            <w:tcW w:w="5051" w:type="dxa"/>
            <w:tcBorders>
              <w:top w:val="single" w:sz="12" w:space="0" w:color="CC0000"/>
            </w:tcBorders>
            <w:shd w:val="clear" w:color="auto" w:fill="auto"/>
            <w:noWrap/>
          </w:tcPr>
          <w:p w:rsidR="007E541F" w:rsidRPr="00C64AE1" w:rsidRDefault="007E541F" w:rsidP="00023874">
            <w:pPr>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c>
          <w:tcPr>
            <w:tcW w:w="56" w:type="dxa"/>
            <w:shd w:val="clear" w:color="auto" w:fill="auto"/>
          </w:tcPr>
          <w:p w:rsidR="007E541F" w:rsidRPr="00C64AE1" w:rsidRDefault="007E541F" w:rsidP="00023874">
            <w:pPr>
              <w:keepLines/>
              <w:rPr>
                <w:rFonts w:ascii="楷体" w:eastAsia="楷体" w:hAnsi="楷体" w:cs="Times New Roman"/>
                <w:sz w:val="20"/>
                <w:szCs w:val="20"/>
              </w:rPr>
            </w:pPr>
          </w:p>
        </w:tc>
        <w:tc>
          <w:tcPr>
            <w:tcW w:w="5050" w:type="dxa"/>
            <w:tcBorders>
              <w:top w:val="single" w:sz="12" w:space="0" w:color="CC0000"/>
            </w:tcBorders>
            <w:shd w:val="clear" w:color="auto" w:fill="auto"/>
            <w:noWrap/>
          </w:tcPr>
          <w:p w:rsidR="007E541F" w:rsidRPr="00C64AE1" w:rsidRDefault="007E541F" w:rsidP="00023874">
            <w:pPr>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r>
    </w:tbl>
    <w:p w:rsidR="00910F5B" w:rsidRPr="00C64AE1" w:rsidRDefault="00910F5B" w:rsidP="00446770">
      <w:pPr>
        <w:keepNext/>
        <w:widowControl/>
        <w:spacing w:beforeLines="50" w:line="360" w:lineRule="auto"/>
        <w:ind w:leftChars="1200" w:left="2821" w:hangingChars="100" w:hanging="301"/>
        <w:outlineLvl w:val="0"/>
        <w:rPr>
          <w:rFonts w:ascii="楷体" w:eastAsia="楷体" w:hAnsi="楷体" w:cs="Times New Roman"/>
          <w:b/>
          <w:sz w:val="30"/>
        </w:rPr>
      </w:pPr>
      <w:r w:rsidRPr="00C64AE1">
        <w:rPr>
          <w:rFonts w:ascii="楷体" w:eastAsia="楷体" w:hAnsi="楷体" w:cs="Times New Roman" w:hint="eastAsia"/>
          <w:b/>
          <w:sz w:val="30"/>
        </w:rPr>
        <w:t>2. 经典回顾：</w:t>
      </w:r>
      <w:r w:rsidR="002A4659" w:rsidRPr="00C64AE1">
        <w:rPr>
          <w:rFonts w:ascii="楷体" w:eastAsia="楷体" w:hAnsi="楷体" w:cs="Times New Roman" w:hint="eastAsia"/>
          <w:b/>
          <w:sz w:val="30"/>
        </w:rPr>
        <w:t>历史经验</w:t>
      </w:r>
      <w:r w:rsidR="00EC12EE" w:rsidRPr="00C64AE1">
        <w:rPr>
          <w:rFonts w:ascii="楷体" w:eastAsia="楷体" w:hAnsi="楷体" w:cs="Times New Roman" w:hint="eastAsia"/>
          <w:b/>
          <w:sz w:val="30"/>
        </w:rPr>
        <w:t>、</w:t>
      </w:r>
      <w:r w:rsidR="002A4659" w:rsidRPr="00C64AE1">
        <w:rPr>
          <w:rFonts w:ascii="楷体" w:eastAsia="楷体" w:hAnsi="楷体" w:cs="Times New Roman" w:hint="eastAsia"/>
          <w:b/>
          <w:sz w:val="30"/>
        </w:rPr>
        <w:t>窥</w:t>
      </w:r>
      <w:r w:rsidRPr="00C64AE1">
        <w:rPr>
          <w:rFonts w:ascii="楷体" w:eastAsia="楷体" w:hAnsi="楷体" w:cs="Times New Roman" w:hint="eastAsia"/>
          <w:b/>
          <w:sz w:val="30"/>
        </w:rPr>
        <w:t>析未来</w:t>
      </w:r>
      <w:bookmarkEnd w:id="31"/>
    </w:p>
    <w:p w:rsidR="003F248D" w:rsidRPr="00C64AE1" w:rsidRDefault="000A5FE0" w:rsidP="00510BBA">
      <w:pPr>
        <w:keepNext/>
        <w:widowControl/>
        <w:numPr>
          <w:ilvl w:val="1"/>
          <w:numId w:val="0"/>
        </w:numPr>
        <w:spacing w:line="360" w:lineRule="auto"/>
        <w:ind w:leftChars="1200" w:left="3026" w:hangingChars="180" w:hanging="506"/>
        <w:outlineLvl w:val="1"/>
        <w:rPr>
          <w:rFonts w:ascii="楷体" w:eastAsia="楷体" w:hAnsi="楷体" w:cs="Times New Roman"/>
          <w:b/>
          <w:sz w:val="28"/>
        </w:rPr>
      </w:pPr>
      <w:bookmarkStart w:id="32" w:name="_Toc531856910"/>
      <w:r w:rsidRPr="00C64AE1">
        <w:rPr>
          <w:rFonts w:ascii="楷体" w:eastAsia="楷体" w:hAnsi="楷体" w:cs="Times New Roman" w:hint="eastAsia"/>
          <w:b/>
          <w:sz w:val="28"/>
        </w:rPr>
        <w:t xml:space="preserve">2.1 </w:t>
      </w:r>
      <w:r w:rsidR="003F248D" w:rsidRPr="00C64AE1">
        <w:rPr>
          <w:rFonts w:ascii="楷体" w:eastAsia="楷体" w:hAnsi="楷体" w:cs="Times New Roman" w:hint="eastAsia"/>
          <w:b/>
          <w:sz w:val="28"/>
        </w:rPr>
        <w:t>历史下跌区间</w:t>
      </w:r>
      <w:r w:rsidRPr="00C64AE1">
        <w:rPr>
          <w:rFonts w:ascii="楷体" w:eastAsia="楷体" w:hAnsi="楷体" w:cs="Times New Roman" w:hint="eastAsia"/>
          <w:b/>
          <w:sz w:val="28"/>
        </w:rPr>
        <w:t>的相似性分析</w:t>
      </w:r>
      <w:bookmarkEnd w:id="32"/>
    </w:p>
    <w:p w:rsidR="003F248D" w:rsidRPr="00C64AE1" w:rsidRDefault="008F5F4F"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根据道氏理论，历史会重演</w:t>
      </w:r>
      <w:r w:rsidR="00750527" w:rsidRPr="00C64AE1">
        <w:rPr>
          <w:rFonts w:ascii="楷体" w:eastAsia="楷体" w:hAnsi="楷体" w:cs="Times New Roman" w:hint="eastAsia"/>
        </w:rPr>
        <w:t>，经验可借</w:t>
      </w:r>
      <w:r w:rsidR="00E57EDB" w:rsidRPr="00C64AE1">
        <w:rPr>
          <w:rFonts w:ascii="楷体" w:eastAsia="楷体" w:hAnsi="楷体" w:cs="Times New Roman" w:hint="eastAsia"/>
        </w:rPr>
        <w:t>鉴</w:t>
      </w:r>
      <w:r w:rsidR="00750527" w:rsidRPr="00C64AE1">
        <w:rPr>
          <w:rFonts w:ascii="楷体" w:eastAsia="楷体" w:hAnsi="楷体" w:cs="Times New Roman" w:hint="eastAsia"/>
        </w:rPr>
        <w:t>等一般性认识</w:t>
      </w:r>
      <w:r w:rsidRPr="00C64AE1">
        <w:rPr>
          <w:rFonts w:ascii="楷体" w:eastAsia="楷体" w:hAnsi="楷体" w:cs="Times New Roman" w:hint="eastAsia"/>
        </w:rPr>
        <w:t>。我们以上证综指</w:t>
      </w:r>
      <w:r w:rsidR="00A540F0" w:rsidRPr="00C64AE1">
        <w:rPr>
          <w:rFonts w:ascii="楷体" w:eastAsia="楷体" w:hAnsi="楷体" w:cs="Times New Roman" w:hint="eastAsia"/>
        </w:rPr>
        <w:t>的</w:t>
      </w:r>
      <w:r w:rsidRPr="00C64AE1">
        <w:rPr>
          <w:rFonts w:ascii="楷体" w:eastAsia="楷体" w:hAnsi="楷体" w:cs="Times New Roman" w:hint="eastAsia"/>
        </w:rPr>
        <w:t>为</w:t>
      </w:r>
      <w:r w:rsidR="00A23627" w:rsidRPr="00C64AE1">
        <w:rPr>
          <w:rFonts w:ascii="楷体" w:eastAsia="楷体" w:hAnsi="楷体" w:cs="Times New Roman" w:hint="eastAsia"/>
        </w:rPr>
        <w:t>研究基础</w:t>
      </w:r>
      <w:r w:rsidRPr="00C64AE1">
        <w:rPr>
          <w:rFonts w:ascii="楷体" w:eastAsia="楷体" w:hAnsi="楷体" w:cs="Times New Roman" w:hint="eastAsia"/>
        </w:rPr>
        <w:t>，从价格指数走势、持续时长以及区间内的涨跌幅等多个角度，寻找出</w:t>
      </w:r>
      <w:r w:rsidR="00A540F0" w:rsidRPr="00C64AE1">
        <w:rPr>
          <w:rFonts w:ascii="楷体" w:eastAsia="楷体" w:hAnsi="楷体" w:cs="Times New Roman" w:hint="eastAsia"/>
        </w:rPr>
        <w:t>与2018年指数价格走势</w:t>
      </w:r>
      <w:r w:rsidRPr="00C64AE1">
        <w:rPr>
          <w:rFonts w:ascii="楷体" w:eastAsia="楷体" w:hAnsi="楷体" w:cs="Times New Roman" w:hint="eastAsia"/>
        </w:rPr>
        <w:t>相似性在0.8以上的历史区间，</w:t>
      </w:r>
      <w:r w:rsidR="00A540F0" w:rsidRPr="00C64AE1">
        <w:rPr>
          <w:rFonts w:ascii="楷体" w:eastAsia="楷体" w:hAnsi="楷体" w:cs="Times New Roman" w:hint="eastAsia"/>
        </w:rPr>
        <w:t>借分析历史相似片段的未来趋势、发展状</w:t>
      </w:r>
      <w:r w:rsidR="00A23627" w:rsidRPr="00C64AE1">
        <w:rPr>
          <w:rFonts w:ascii="楷体" w:eastAsia="楷体" w:hAnsi="楷体" w:cs="Times New Roman" w:hint="eastAsia"/>
        </w:rPr>
        <w:t>况</w:t>
      </w:r>
      <w:r w:rsidR="00A540F0" w:rsidRPr="00C64AE1">
        <w:rPr>
          <w:rFonts w:ascii="楷体" w:eastAsia="楷体" w:hAnsi="楷体" w:cs="Times New Roman" w:hint="eastAsia"/>
        </w:rPr>
        <w:t>以及指数的波动性等特征，在认知历史规律的同时，</w:t>
      </w:r>
      <w:r w:rsidRPr="00C64AE1">
        <w:rPr>
          <w:rFonts w:ascii="楷体" w:eastAsia="楷体" w:hAnsi="楷体" w:cs="Times New Roman" w:hint="eastAsia"/>
        </w:rPr>
        <w:t>为</w:t>
      </w:r>
      <w:r w:rsidR="00A540F0" w:rsidRPr="00C64AE1">
        <w:rPr>
          <w:rFonts w:ascii="楷体" w:eastAsia="楷体" w:hAnsi="楷体" w:cs="Times New Roman" w:hint="eastAsia"/>
        </w:rPr>
        <w:t>2019年市场指数的趋势预判</w:t>
      </w:r>
      <w:r w:rsidRPr="00C64AE1">
        <w:rPr>
          <w:rFonts w:ascii="楷体" w:eastAsia="楷体" w:hAnsi="楷体" w:cs="Times New Roman" w:hint="eastAsia"/>
        </w:rPr>
        <w:t>提供经验参考。</w:t>
      </w:r>
      <w:r w:rsidR="0044359D" w:rsidRPr="00C64AE1">
        <w:rPr>
          <w:rFonts w:ascii="楷体" w:eastAsia="楷体" w:hAnsi="楷体" w:cs="Times New Roman" w:hint="eastAsia"/>
        </w:rPr>
        <w:t>经比较分析，发现如下</w:t>
      </w:r>
      <w:r w:rsidRPr="00C64AE1">
        <w:rPr>
          <w:rFonts w:ascii="楷体" w:eastAsia="楷体" w:hAnsi="楷体" w:cs="Times New Roman" w:hint="eastAsia"/>
        </w:rPr>
        <w:t>相似片段</w:t>
      </w:r>
      <w:r w:rsidR="003F248D" w:rsidRPr="00C64AE1">
        <w:rPr>
          <w:rFonts w:ascii="楷体" w:eastAsia="楷体" w:hAnsi="楷体" w:cs="Times New Roman" w:hint="eastAsia"/>
        </w:rPr>
        <w:t>：</w:t>
      </w:r>
    </w:p>
    <w:p w:rsidR="003F248D" w:rsidRPr="00C64AE1" w:rsidRDefault="003F248D" w:rsidP="000A7B61">
      <w:pPr>
        <w:pStyle w:val="af2"/>
        <w:spacing w:afterLines="0"/>
        <w:ind w:leftChars="0" w:left="0" w:firstLineChars="150" w:firstLine="300"/>
        <w:rPr>
          <w:rFonts w:ascii="楷体" w:eastAsia="楷体" w:hAnsi="楷体" w:cs="Arial"/>
          <w:kern w:val="0"/>
          <w:sz w:val="20"/>
          <w:szCs w:val="20"/>
        </w:rPr>
      </w:pPr>
      <w:r w:rsidRPr="00C64AE1">
        <w:rPr>
          <w:rFonts w:ascii="楷体" w:eastAsia="楷体" w:hAnsi="楷体" w:hint="eastAsia"/>
          <w:sz w:val="20"/>
          <w:szCs w:val="20"/>
        </w:rPr>
        <w:t>表</w:t>
      </w:r>
      <w:r w:rsidR="00A86E61" w:rsidRPr="00C64AE1">
        <w:rPr>
          <w:rFonts w:ascii="楷体" w:eastAsia="楷体" w:hAnsi="楷体" w:hint="eastAsia"/>
          <w:sz w:val="20"/>
          <w:szCs w:val="20"/>
        </w:rPr>
        <w:t>4</w:t>
      </w:r>
      <w:r w:rsidRPr="00C64AE1">
        <w:rPr>
          <w:rFonts w:ascii="楷体" w:eastAsia="楷体" w:hAnsi="楷体"/>
          <w:sz w:val="20"/>
          <w:szCs w:val="20"/>
        </w:rPr>
        <w:t xml:space="preserve">  </w:t>
      </w:r>
      <w:r w:rsidRPr="00C64AE1">
        <w:rPr>
          <w:rFonts w:ascii="楷体" w:eastAsia="楷体" w:hAnsi="楷体" w:hint="eastAsia"/>
          <w:sz w:val="20"/>
          <w:szCs w:val="20"/>
        </w:rPr>
        <w:t>历史下跌区间起始时间</w:t>
      </w:r>
      <w:r w:rsidR="008F5F4F" w:rsidRPr="00C64AE1">
        <w:rPr>
          <w:rFonts w:ascii="楷体" w:eastAsia="楷体" w:hAnsi="楷体" w:hint="eastAsia"/>
          <w:sz w:val="20"/>
          <w:szCs w:val="20"/>
        </w:rPr>
        <w:t>及相关特征分析</w:t>
      </w:r>
    </w:p>
    <w:tbl>
      <w:tblPr>
        <w:tblW w:w="4822" w:type="pct"/>
        <w:jc w:val="right"/>
        <w:tblInd w:w="392" w:type="dxa"/>
        <w:tblLook w:val="04A0"/>
      </w:tblPr>
      <w:tblGrid>
        <w:gridCol w:w="1766"/>
        <w:gridCol w:w="1766"/>
        <w:gridCol w:w="1766"/>
        <w:gridCol w:w="1766"/>
        <w:gridCol w:w="1765"/>
        <w:gridCol w:w="1768"/>
      </w:tblGrid>
      <w:tr w:rsidR="008F5F4F" w:rsidRPr="00C64AE1" w:rsidTr="008F5F4F">
        <w:trPr>
          <w:trHeight w:val="213"/>
          <w:jc w:val="right"/>
        </w:trPr>
        <w:tc>
          <w:tcPr>
            <w:tcW w:w="833" w:type="pct"/>
            <w:tcBorders>
              <w:top w:val="single" w:sz="12" w:space="0" w:color="BE0000"/>
              <w:left w:val="dotted" w:sz="4" w:space="0" w:color="auto"/>
              <w:bottom w:val="single" w:sz="6" w:space="0" w:color="BE0000"/>
              <w:right w:val="dotted" w:sz="4" w:space="0" w:color="auto"/>
            </w:tcBorders>
            <w:vAlign w:val="center"/>
          </w:tcPr>
          <w:p w:rsidR="008F5F4F" w:rsidRPr="00C64AE1" w:rsidRDefault="008F5F4F" w:rsidP="00697663">
            <w:pPr>
              <w:widowControl/>
              <w:jc w:val="center"/>
              <w:rPr>
                <w:rFonts w:ascii="楷体" w:eastAsia="楷体" w:hAnsi="楷体"/>
                <w:kern w:val="0"/>
                <w:sz w:val="22"/>
              </w:rPr>
            </w:pPr>
          </w:p>
        </w:tc>
        <w:tc>
          <w:tcPr>
            <w:tcW w:w="833" w:type="pct"/>
            <w:tcBorders>
              <w:top w:val="single" w:sz="12" w:space="0" w:color="BE0000"/>
              <w:left w:val="dotted" w:sz="4" w:space="0" w:color="auto"/>
              <w:bottom w:val="single" w:sz="6" w:space="0" w:color="BE0000"/>
              <w:right w:val="dotted" w:sz="4" w:space="0" w:color="auto"/>
            </w:tcBorders>
            <w:vAlign w:val="center"/>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起始时间</w:t>
            </w:r>
          </w:p>
        </w:tc>
        <w:tc>
          <w:tcPr>
            <w:tcW w:w="833" w:type="pct"/>
            <w:tcBorders>
              <w:top w:val="single" w:sz="12" w:space="0" w:color="BE0000"/>
              <w:left w:val="dotted" w:sz="4" w:space="0" w:color="auto"/>
              <w:bottom w:val="single" w:sz="6" w:space="0" w:color="BE0000"/>
              <w:right w:val="dotted" w:sz="4" w:space="0" w:color="auto"/>
            </w:tcBorders>
            <w:vAlign w:val="center"/>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结束时间</w:t>
            </w:r>
          </w:p>
        </w:tc>
        <w:tc>
          <w:tcPr>
            <w:tcW w:w="833" w:type="pct"/>
            <w:tcBorders>
              <w:top w:val="single" w:sz="12" w:space="0" w:color="BE0000"/>
              <w:left w:val="dotted" w:sz="4" w:space="0" w:color="auto"/>
              <w:bottom w:val="single" w:sz="6" w:space="0" w:color="BE0000"/>
              <w:right w:val="dotted" w:sz="4" w:space="0" w:color="auto"/>
            </w:tcBorders>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区间内涨跌幅</w:t>
            </w:r>
          </w:p>
        </w:tc>
        <w:tc>
          <w:tcPr>
            <w:tcW w:w="833" w:type="pct"/>
            <w:tcBorders>
              <w:top w:val="single" w:sz="12" w:space="0" w:color="BE0000"/>
              <w:left w:val="dotted" w:sz="4" w:space="0" w:color="auto"/>
              <w:bottom w:val="single" w:sz="6" w:space="0" w:color="BE0000"/>
              <w:right w:val="dotted" w:sz="4" w:space="0" w:color="auto"/>
            </w:tcBorders>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持续时长</w:t>
            </w:r>
          </w:p>
        </w:tc>
        <w:tc>
          <w:tcPr>
            <w:tcW w:w="834" w:type="pct"/>
            <w:tcBorders>
              <w:top w:val="single" w:sz="12" w:space="0" w:color="BE0000"/>
              <w:left w:val="dotted" w:sz="4" w:space="0" w:color="auto"/>
              <w:bottom w:val="single" w:sz="6" w:space="0" w:color="BE0000"/>
              <w:right w:val="dotted" w:sz="4" w:space="0" w:color="auto"/>
            </w:tcBorders>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指数相关性</w:t>
            </w:r>
          </w:p>
        </w:tc>
      </w:tr>
      <w:tr w:rsidR="008F5F4F" w:rsidRPr="00C64AE1" w:rsidTr="008F5F4F">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8F5F4F" w:rsidRPr="00C64AE1" w:rsidRDefault="008F5F4F" w:rsidP="00100B70">
            <w:pPr>
              <w:jc w:val="center"/>
              <w:rPr>
                <w:rFonts w:ascii="楷体" w:eastAsia="楷体" w:hAnsi="楷体"/>
                <w:sz w:val="22"/>
              </w:rPr>
            </w:pPr>
            <w:r w:rsidRPr="00C64AE1">
              <w:rPr>
                <w:rFonts w:ascii="楷体" w:eastAsia="楷体" w:hAnsi="楷体" w:hint="eastAsia"/>
                <w:sz w:val="22"/>
              </w:rPr>
              <w:t>相似片段1</w:t>
            </w:r>
          </w:p>
        </w:tc>
        <w:tc>
          <w:tcPr>
            <w:tcW w:w="833" w:type="pct"/>
            <w:tcBorders>
              <w:top w:val="dotted" w:sz="4" w:space="0" w:color="auto"/>
              <w:left w:val="dotted" w:sz="4" w:space="0" w:color="auto"/>
              <w:bottom w:val="dotted" w:sz="4" w:space="0" w:color="auto"/>
              <w:right w:val="dotted" w:sz="4" w:space="0" w:color="auto"/>
            </w:tcBorders>
            <w:vAlign w:val="center"/>
          </w:tcPr>
          <w:p w:rsidR="008F5F4F" w:rsidRPr="00C64AE1" w:rsidRDefault="008F5F4F" w:rsidP="00100B70">
            <w:pPr>
              <w:jc w:val="center"/>
              <w:rPr>
                <w:rFonts w:ascii="楷体" w:eastAsia="楷体" w:hAnsi="楷体"/>
                <w:sz w:val="22"/>
              </w:rPr>
            </w:pPr>
            <w:r w:rsidRPr="00C64AE1">
              <w:rPr>
                <w:rFonts w:ascii="楷体" w:eastAsia="楷体" w:hAnsi="楷体" w:hint="eastAsia"/>
                <w:sz w:val="22"/>
              </w:rPr>
              <w:t>2011</w:t>
            </w:r>
            <w:r w:rsidRPr="00C64AE1">
              <w:rPr>
                <w:rFonts w:ascii="楷体" w:eastAsia="楷体" w:hAnsi="楷体"/>
                <w:sz w:val="22"/>
              </w:rPr>
              <w:t>-</w:t>
            </w:r>
            <w:r w:rsidRPr="00C64AE1">
              <w:rPr>
                <w:rFonts w:ascii="楷体" w:eastAsia="楷体" w:hAnsi="楷体" w:hint="eastAsia"/>
                <w:sz w:val="22"/>
              </w:rPr>
              <w:t>04</w:t>
            </w:r>
            <w:r w:rsidRPr="00C64AE1">
              <w:rPr>
                <w:rFonts w:ascii="楷体" w:eastAsia="楷体" w:hAnsi="楷体"/>
                <w:sz w:val="22"/>
              </w:rPr>
              <w:t>-</w:t>
            </w:r>
            <w:r w:rsidRPr="00C64AE1">
              <w:rPr>
                <w:rFonts w:ascii="楷体" w:eastAsia="楷体" w:hAnsi="楷体" w:hint="eastAsia"/>
                <w:sz w:val="22"/>
              </w:rPr>
              <w:t>18</w:t>
            </w:r>
          </w:p>
        </w:tc>
        <w:tc>
          <w:tcPr>
            <w:tcW w:w="833" w:type="pct"/>
            <w:tcBorders>
              <w:top w:val="dotted" w:sz="4" w:space="0" w:color="auto"/>
              <w:left w:val="dotted" w:sz="4" w:space="0" w:color="auto"/>
              <w:bottom w:val="dotted" w:sz="4" w:space="0" w:color="auto"/>
              <w:right w:val="dotted" w:sz="4" w:space="0" w:color="auto"/>
            </w:tcBorders>
            <w:vAlign w:val="center"/>
          </w:tcPr>
          <w:p w:rsidR="008F5F4F" w:rsidRPr="00C64AE1" w:rsidRDefault="008F5F4F" w:rsidP="00100B70">
            <w:pPr>
              <w:jc w:val="center"/>
              <w:rPr>
                <w:rFonts w:ascii="楷体" w:eastAsia="楷体" w:hAnsi="楷体"/>
                <w:sz w:val="22"/>
              </w:rPr>
            </w:pPr>
            <w:r w:rsidRPr="00C64AE1">
              <w:rPr>
                <w:rFonts w:ascii="楷体" w:eastAsia="楷体" w:hAnsi="楷体" w:hint="eastAsia"/>
                <w:sz w:val="22"/>
              </w:rPr>
              <w:t>2012</w:t>
            </w:r>
            <w:r w:rsidRPr="00C64AE1">
              <w:rPr>
                <w:rFonts w:ascii="楷体" w:eastAsia="楷体" w:hAnsi="楷体"/>
                <w:sz w:val="22"/>
              </w:rPr>
              <w:t>-</w:t>
            </w:r>
            <w:r w:rsidRPr="00C64AE1">
              <w:rPr>
                <w:rFonts w:ascii="楷体" w:eastAsia="楷体" w:hAnsi="楷体" w:hint="eastAsia"/>
                <w:sz w:val="22"/>
              </w:rPr>
              <w:t>01</w:t>
            </w:r>
            <w:r w:rsidRPr="00C64AE1">
              <w:rPr>
                <w:rFonts w:ascii="楷体" w:eastAsia="楷体" w:hAnsi="楷体"/>
                <w:sz w:val="22"/>
              </w:rPr>
              <w:t>-</w:t>
            </w:r>
            <w:r w:rsidRPr="00C64AE1">
              <w:rPr>
                <w:rFonts w:ascii="楷体" w:eastAsia="楷体" w:hAnsi="楷体" w:hint="eastAsia"/>
                <w:sz w:val="22"/>
              </w:rPr>
              <w:t>05</w:t>
            </w:r>
          </w:p>
        </w:tc>
        <w:tc>
          <w:tcPr>
            <w:tcW w:w="833" w:type="pct"/>
            <w:tcBorders>
              <w:top w:val="dotted" w:sz="4" w:space="0" w:color="auto"/>
              <w:left w:val="dotted" w:sz="4" w:space="0" w:color="auto"/>
              <w:bottom w:val="dotted" w:sz="4" w:space="0" w:color="auto"/>
              <w:right w:val="dotted" w:sz="4" w:space="0" w:color="auto"/>
            </w:tcBorders>
          </w:tcPr>
          <w:p w:rsidR="008F5F4F" w:rsidRPr="00C64AE1" w:rsidRDefault="008F5F4F" w:rsidP="00100B70">
            <w:pPr>
              <w:jc w:val="center"/>
              <w:rPr>
                <w:rFonts w:ascii="楷体" w:eastAsia="楷体" w:hAnsi="楷体"/>
                <w:sz w:val="22"/>
              </w:rPr>
            </w:pPr>
            <w:r w:rsidRPr="00C64AE1">
              <w:rPr>
                <w:rFonts w:ascii="楷体" w:eastAsia="楷体" w:hAnsi="楷体" w:hint="eastAsia"/>
                <w:sz w:val="22"/>
              </w:rPr>
              <w:t>-29.73%</w:t>
            </w:r>
          </w:p>
        </w:tc>
        <w:tc>
          <w:tcPr>
            <w:tcW w:w="833" w:type="pct"/>
            <w:tcBorders>
              <w:top w:val="dotted" w:sz="4" w:space="0" w:color="auto"/>
              <w:left w:val="dotted" w:sz="4" w:space="0" w:color="auto"/>
              <w:bottom w:val="dotted" w:sz="4" w:space="0" w:color="auto"/>
              <w:right w:val="dotted" w:sz="4" w:space="0" w:color="auto"/>
            </w:tcBorders>
          </w:tcPr>
          <w:p w:rsidR="008F5F4F" w:rsidRPr="00C64AE1" w:rsidRDefault="008F5F4F" w:rsidP="00100B70">
            <w:pPr>
              <w:jc w:val="center"/>
              <w:rPr>
                <w:rFonts w:ascii="楷体" w:eastAsia="楷体" w:hAnsi="楷体"/>
                <w:sz w:val="22"/>
              </w:rPr>
            </w:pPr>
            <w:r w:rsidRPr="00C64AE1">
              <w:rPr>
                <w:rFonts w:ascii="楷体" w:eastAsia="楷体" w:hAnsi="楷体" w:hint="eastAsia"/>
                <w:sz w:val="22"/>
              </w:rPr>
              <w:t>179天</w:t>
            </w:r>
          </w:p>
        </w:tc>
        <w:tc>
          <w:tcPr>
            <w:tcW w:w="834" w:type="pct"/>
            <w:tcBorders>
              <w:top w:val="dotted" w:sz="4" w:space="0" w:color="auto"/>
              <w:left w:val="dotted" w:sz="4" w:space="0" w:color="auto"/>
              <w:bottom w:val="dotted" w:sz="4" w:space="0" w:color="auto"/>
              <w:right w:val="dotted" w:sz="4" w:space="0" w:color="auto"/>
            </w:tcBorders>
          </w:tcPr>
          <w:p w:rsidR="008F5F4F" w:rsidRPr="00C64AE1" w:rsidRDefault="008F5F4F" w:rsidP="00100B70">
            <w:pPr>
              <w:jc w:val="center"/>
              <w:rPr>
                <w:rFonts w:ascii="楷体" w:eastAsia="楷体" w:hAnsi="楷体"/>
                <w:sz w:val="22"/>
              </w:rPr>
            </w:pPr>
            <w:r w:rsidRPr="00C64AE1">
              <w:rPr>
                <w:rFonts w:ascii="楷体" w:eastAsia="楷体" w:hAnsi="楷体" w:hint="eastAsia"/>
                <w:sz w:val="22"/>
              </w:rPr>
              <w:t>0.9072</w:t>
            </w:r>
          </w:p>
        </w:tc>
      </w:tr>
      <w:tr w:rsidR="008F5F4F" w:rsidRPr="00C64AE1" w:rsidTr="008F5F4F">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8F5F4F" w:rsidRPr="00C64AE1" w:rsidRDefault="008F5F4F" w:rsidP="00765A8B">
            <w:pPr>
              <w:jc w:val="center"/>
              <w:rPr>
                <w:rFonts w:ascii="楷体" w:eastAsia="楷体" w:hAnsi="楷体"/>
                <w:sz w:val="22"/>
              </w:rPr>
            </w:pPr>
            <w:r w:rsidRPr="00C64AE1">
              <w:rPr>
                <w:rFonts w:ascii="楷体" w:eastAsia="楷体" w:hAnsi="楷体" w:hint="eastAsia"/>
                <w:sz w:val="22"/>
              </w:rPr>
              <w:t>相似</w:t>
            </w:r>
            <w:r w:rsidR="00765A8B" w:rsidRPr="00C64AE1">
              <w:rPr>
                <w:rFonts w:ascii="楷体" w:eastAsia="楷体" w:hAnsi="楷体" w:hint="eastAsia"/>
                <w:sz w:val="22"/>
              </w:rPr>
              <w:t>片段</w:t>
            </w:r>
            <w:r w:rsidRPr="00C64AE1">
              <w:rPr>
                <w:rFonts w:ascii="楷体" w:eastAsia="楷体" w:hAnsi="楷体" w:hint="eastAsia"/>
                <w:sz w:val="22"/>
              </w:rPr>
              <w:t>2</w:t>
            </w:r>
          </w:p>
        </w:tc>
        <w:tc>
          <w:tcPr>
            <w:tcW w:w="833" w:type="pct"/>
            <w:tcBorders>
              <w:top w:val="dotted" w:sz="4" w:space="0" w:color="auto"/>
              <w:left w:val="dotted" w:sz="4" w:space="0" w:color="auto"/>
              <w:bottom w:val="dotted" w:sz="4" w:space="0" w:color="auto"/>
              <w:right w:val="dotted" w:sz="4" w:space="0" w:color="auto"/>
            </w:tcBorders>
            <w:vAlign w:val="center"/>
          </w:tcPr>
          <w:p w:rsidR="008F5F4F" w:rsidRPr="00C64AE1" w:rsidRDefault="008F5F4F" w:rsidP="00100B70">
            <w:pPr>
              <w:jc w:val="center"/>
              <w:rPr>
                <w:rFonts w:ascii="楷体" w:eastAsia="楷体" w:hAnsi="楷体"/>
                <w:sz w:val="22"/>
              </w:rPr>
            </w:pPr>
            <w:r w:rsidRPr="00C64AE1">
              <w:rPr>
                <w:rFonts w:ascii="楷体" w:eastAsia="楷体" w:hAnsi="楷体" w:hint="eastAsia"/>
                <w:sz w:val="22"/>
              </w:rPr>
              <w:t>2004</w:t>
            </w:r>
            <w:r w:rsidRPr="00C64AE1">
              <w:rPr>
                <w:rFonts w:ascii="楷体" w:eastAsia="楷体" w:hAnsi="楷体"/>
                <w:sz w:val="22"/>
              </w:rPr>
              <w:t>-</w:t>
            </w:r>
            <w:r w:rsidRPr="00C64AE1">
              <w:rPr>
                <w:rFonts w:ascii="楷体" w:eastAsia="楷体" w:hAnsi="楷体" w:hint="eastAsia"/>
                <w:sz w:val="22"/>
              </w:rPr>
              <w:t>09</w:t>
            </w:r>
            <w:r w:rsidRPr="00C64AE1">
              <w:rPr>
                <w:rFonts w:ascii="楷体" w:eastAsia="楷体" w:hAnsi="楷体"/>
                <w:sz w:val="22"/>
              </w:rPr>
              <w:t>-</w:t>
            </w:r>
            <w:r w:rsidRPr="00C64AE1">
              <w:rPr>
                <w:rFonts w:ascii="楷体" w:eastAsia="楷体" w:hAnsi="楷体" w:hint="eastAsia"/>
                <w:sz w:val="22"/>
              </w:rPr>
              <w:t>23</w:t>
            </w:r>
          </w:p>
        </w:tc>
        <w:tc>
          <w:tcPr>
            <w:tcW w:w="833" w:type="pct"/>
            <w:tcBorders>
              <w:top w:val="dotted" w:sz="4" w:space="0" w:color="auto"/>
              <w:left w:val="dotted" w:sz="4" w:space="0" w:color="auto"/>
              <w:bottom w:val="dotted" w:sz="4" w:space="0" w:color="auto"/>
              <w:right w:val="dotted" w:sz="4" w:space="0" w:color="auto"/>
            </w:tcBorders>
            <w:vAlign w:val="center"/>
          </w:tcPr>
          <w:p w:rsidR="008F5F4F" w:rsidRPr="00C64AE1" w:rsidRDefault="008F5F4F" w:rsidP="00100B70">
            <w:pPr>
              <w:jc w:val="center"/>
              <w:rPr>
                <w:rFonts w:ascii="楷体" w:eastAsia="楷体" w:hAnsi="楷体"/>
                <w:sz w:val="22"/>
              </w:rPr>
            </w:pPr>
            <w:r w:rsidRPr="00C64AE1">
              <w:rPr>
                <w:rFonts w:ascii="楷体" w:eastAsia="楷体" w:hAnsi="楷体" w:hint="eastAsia"/>
                <w:sz w:val="22"/>
              </w:rPr>
              <w:t>2005</w:t>
            </w:r>
            <w:r w:rsidRPr="00C64AE1">
              <w:rPr>
                <w:rFonts w:ascii="楷体" w:eastAsia="楷体" w:hAnsi="楷体"/>
                <w:sz w:val="22"/>
              </w:rPr>
              <w:t>-</w:t>
            </w:r>
            <w:r w:rsidRPr="00C64AE1">
              <w:rPr>
                <w:rFonts w:ascii="楷体" w:eastAsia="楷体" w:hAnsi="楷体" w:hint="eastAsia"/>
                <w:sz w:val="22"/>
              </w:rPr>
              <w:t>07</w:t>
            </w:r>
            <w:r w:rsidRPr="00C64AE1">
              <w:rPr>
                <w:rFonts w:ascii="楷体" w:eastAsia="楷体" w:hAnsi="楷体"/>
                <w:sz w:val="22"/>
              </w:rPr>
              <w:t>-</w:t>
            </w:r>
            <w:r w:rsidRPr="00C64AE1">
              <w:rPr>
                <w:rFonts w:ascii="楷体" w:eastAsia="楷体" w:hAnsi="楷体" w:hint="eastAsia"/>
                <w:sz w:val="22"/>
              </w:rPr>
              <w:t>11</w:t>
            </w:r>
          </w:p>
        </w:tc>
        <w:tc>
          <w:tcPr>
            <w:tcW w:w="833" w:type="pct"/>
            <w:tcBorders>
              <w:top w:val="dotted" w:sz="4" w:space="0" w:color="auto"/>
              <w:left w:val="dotted" w:sz="4" w:space="0" w:color="auto"/>
              <w:bottom w:val="dotted" w:sz="4" w:space="0" w:color="auto"/>
              <w:right w:val="dotted" w:sz="4" w:space="0" w:color="auto"/>
            </w:tcBorders>
          </w:tcPr>
          <w:p w:rsidR="008F5F4F" w:rsidRPr="00C64AE1" w:rsidRDefault="008F5F4F" w:rsidP="00100B70">
            <w:pPr>
              <w:jc w:val="center"/>
              <w:rPr>
                <w:rFonts w:ascii="楷体" w:eastAsia="楷体" w:hAnsi="楷体"/>
                <w:sz w:val="22"/>
              </w:rPr>
            </w:pPr>
            <w:r w:rsidRPr="00C64AE1">
              <w:rPr>
                <w:rFonts w:ascii="楷体" w:eastAsia="楷体" w:hAnsi="楷体" w:hint="eastAsia"/>
                <w:sz w:val="22"/>
              </w:rPr>
              <w:t>-30.95%</w:t>
            </w:r>
          </w:p>
        </w:tc>
        <w:tc>
          <w:tcPr>
            <w:tcW w:w="833" w:type="pct"/>
            <w:tcBorders>
              <w:top w:val="dotted" w:sz="4" w:space="0" w:color="auto"/>
              <w:left w:val="dotted" w:sz="4" w:space="0" w:color="auto"/>
              <w:bottom w:val="dotted" w:sz="4" w:space="0" w:color="auto"/>
              <w:right w:val="dotted" w:sz="4" w:space="0" w:color="auto"/>
            </w:tcBorders>
          </w:tcPr>
          <w:p w:rsidR="008F5F4F" w:rsidRPr="00C64AE1" w:rsidRDefault="008F5F4F" w:rsidP="00100B70">
            <w:pPr>
              <w:jc w:val="center"/>
              <w:rPr>
                <w:rFonts w:ascii="楷体" w:eastAsia="楷体" w:hAnsi="楷体"/>
                <w:sz w:val="22"/>
              </w:rPr>
            </w:pPr>
            <w:r w:rsidRPr="00C64AE1">
              <w:rPr>
                <w:rFonts w:ascii="楷体" w:eastAsia="楷体" w:hAnsi="楷体" w:hint="eastAsia"/>
                <w:sz w:val="22"/>
              </w:rPr>
              <w:t>190天</w:t>
            </w:r>
          </w:p>
        </w:tc>
        <w:tc>
          <w:tcPr>
            <w:tcW w:w="834" w:type="pct"/>
            <w:tcBorders>
              <w:top w:val="dotted" w:sz="4" w:space="0" w:color="auto"/>
              <w:left w:val="dotted" w:sz="4" w:space="0" w:color="auto"/>
              <w:bottom w:val="dotted" w:sz="4" w:space="0" w:color="auto"/>
              <w:right w:val="dotted" w:sz="4" w:space="0" w:color="auto"/>
            </w:tcBorders>
          </w:tcPr>
          <w:p w:rsidR="008F5F4F" w:rsidRPr="00C64AE1" w:rsidRDefault="008F5F4F" w:rsidP="00100B70">
            <w:pPr>
              <w:jc w:val="center"/>
              <w:rPr>
                <w:rFonts w:ascii="楷体" w:eastAsia="楷体" w:hAnsi="楷体"/>
                <w:sz w:val="22"/>
              </w:rPr>
            </w:pPr>
            <w:r w:rsidRPr="00C64AE1">
              <w:rPr>
                <w:rFonts w:ascii="楷体" w:eastAsia="楷体" w:hAnsi="楷体" w:hint="eastAsia"/>
                <w:sz w:val="22"/>
              </w:rPr>
              <w:t>0.8652</w:t>
            </w:r>
          </w:p>
        </w:tc>
      </w:tr>
      <w:tr w:rsidR="008F5F4F" w:rsidRPr="00C64AE1" w:rsidTr="008F5F4F">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相似</w:t>
            </w:r>
            <w:r w:rsidR="00765A8B" w:rsidRPr="00C64AE1">
              <w:rPr>
                <w:rFonts w:ascii="楷体" w:eastAsia="楷体" w:hAnsi="楷体" w:hint="eastAsia"/>
                <w:sz w:val="22"/>
              </w:rPr>
              <w:t>片段</w:t>
            </w:r>
            <w:r w:rsidRPr="00C64AE1">
              <w:rPr>
                <w:rFonts w:ascii="楷体" w:eastAsia="楷体" w:hAnsi="楷体" w:hint="eastAsia"/>
                <w:sz w:val="22"/>
              </w:rPr>
              <w:t>3</w:t>
            </w:r>
          </w:p>
        </w:tc>
        <w:tc>
          <w:tcPr>
            <w:tcW w:w="833" w:type="pct"/>
            <w:tcBorders>
              <w:top w:val="dotted" w:sz="4" w:space="0" w:color="auto"/>
              <w:left w:val="dotted" w:sz="4" w:space="0" w:color="auto"/>
              <w:bottom w:val="dotted" w:sz="4" w:space="0" w:color="auto"/>
              <w:right w:val="dotted" w:sz="4" w:space="0" w:color="auto"/>
            </w:tcBorders>
            <w:vAlign w:val="center"/>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2004-04-07</w:t>
            </w:r>
          </w:p>
        </w:tc>
        <w:tc>
          <w:tcPr>
            <w:tcW w:w="833" w:type="pct"/>
            <w:tcBorders>
              <w:top w:val="dotted" w:sz="4" w:space="0" w:color="auto"/>
              <w:left w:val="dotted" w:sz="4" w:space="0" w:color="auto"/>
              <w:bottom w:val="dotted" w:sz="4" w:space="0" w:color="auto"/>
              <w:right w:val="dotted" w:sz="4" w:space="0" w:color="auto"/>
            </w:tcBorders>
            <w:vAlign w:val="center"/>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2004-12-31</w:t>
            </w:r>
          </w:p>
        </w:tc>
        <w:tc>
          <w:tcPr>
            <w:tcW w:w="833" w:type="pct"/>
            <w:tcBorders>
              <w:top w:val="dotted" w:sz="4" w:space="0" w:color="auto"/>
              <w:left w:val="dotted" w:sz="4" w:space="0" w:color="auto"/>
              <w:bottom w:val="dotted" w:sz="4" w:space="0" w:color="auto"/>
              <w:right w:val="dotted" w:sz="4" w:space="0" w:color="auto"/>
            </w:tcBorders>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-27.72%</w:t>
            </w:r>
          </w:p>
        </w:tc>
        <w:tc>
          <w:tcPr>
            <w:tcW w:w="833" w:type="pct"/>
            <w:tcBorders>
              <w:top w:val="dotted" w:sz="4" w:space="0" w:color="auto"/>
              <w:left w:val="dotted" w:sz="4" w:space="0" w:color="auto"/>
              <w:bottom w:val="dotted" w:sz="4" w:space="0" w:color="auto"/>
              <w:right w:val="dotted" w:sz="4" w:space="0" w:color="auto"/>
            </w:tcBorders>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182天</w:t>
            </w:r>
          </w:p>
        </w:tc>
        <w:tc>
          <w:tcPr>
            <w:tcW w:w="834" w:type="pct"/>
            <w:tcBorders>
              <w:top w:val="dotted" w:sz="4" w:space="0" w:color="auto"/>
              <w:left w:val="dotted" w:sz="4" w:space="0" w:color="auto"/>
              <w:bottom w:val="dotted" w:sz="4" w:space="0" w:color="auto"/>
              <w:right w:val="dotted" w:sz="4" w:space="0" w:color="auto"/>
            </w:tcBorders>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0.8444</w:t>
            </w:r>
          </w:p>
        </w:tc>
      </w:tr>
      <w:tr w:rsidR="008F5F4F" w:rsidRPr="00C64AE1" w:rsidTr="008F5F4F">
        <w:trPr>
          <w:trHeight w:val="240"/>
          <w:jc w:val="right"/>
        </w:trPr>
        <w:tc>
          <w:tcPr>
            <w:tcW w:w="833" w:type="pct"/>
            <w:tcBorders>
              <w:top w:val="dotted" w:sz="4" w:space="0" w:color="auto"/>
              <w:left w:val="dotted" w:sz="4" w:space="0" w:color="auto"/>
              <w:bottom w:val="single" w:sz="12" w:space="0" w:color="C00000"/>
              <w:right w:val="dotted" w:sz="4" w:space="0" w:color="auto"/>
            </w:tcBorders>
            <w:vAlign w:val="center"/>
          </w:tcPr>
          <w:p w:rsidR="008F5F4F" w:rsidRPr="00C64AE1" w:rsidRDefault="008F5F4F" w:rsidP="001A1312">
            <w:pPr>
              <w:jc w:val="center"/>
              <w:rPr>
                <w:rFonts w:ascii="楷体" w:eastAsia="楷体" w:hAnsi="楷体"/>
                <w:sz w:val="22"/>
              </w:rPr>
            </w:pPr>
            <w:r w:rsidRPr="00C64AE1">
              <w:rPr>
                <w:rFonts w:ascii="楷体" w:eastAsia="楷体" w:hAnsi="楷体" w:hint="eastAsia"/>
                <w:sz w:val="22"/>
              </w:rPr>
              <w:t>2018年</w:t>
            </w:r>
            <w:r w:rsidR="00765A8B" w:rsidRPr="00C64AE1">
              <w:rPr>
                <w:rFonts w:ascii="楷体" w:eastAsia="楷体" w:hAnsi="楷体" w:hint="eastAsia"/>
                <w:sz w:val="22"/>
              </w:rPr>
              <w:t>片段</w:t>
            </w:r>
          </w:p>
        </w:tc>
        <w:tc>
          <w:tcPr>
            <w:tcW w:w="833" w:type="pct"/>
            <w:tcBorders>
              <w:top w:val="dotted" w:sz="4" w:space="0" w:color="auto"/>
              <w:left w:val="dotted" w:sz="4" w:space="0" w:color="auto"/>
              <w:bottom w:val="single" w:sz="12" w:space="0" w:color="C00000"/>
              <w:right w:val="dotted" w:sz="4" w:space="0" w:color="auto"/>
            </w:tcBorders>
            <w:vAlign w:val="center"/>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2018</w:t>
            </w:r>
            <w:r w:rsidRPr="00C64AE1">
              <w:rPr>
                <w:rFonts w:ascii="楷体" w:eastAsia="楷体" w:hAnsi="楷体"/>
                <w:sz w:val="22"/>
              </w:rPr>
              <w:t>-</w:t>
            </w:r>
            <w:r w:rsidRPr="00C64AE1">
              <w:rPr>
                <w:rFonts w:ascii="楷体" w:eastAsia="楷体" w:hAnsi="楷体" w:hint="eastAsia"/>
                <w:sz w:val="22"/>
              </w:rPr>
              <w:t>01</w:t>
            </w:r>
            <w:r w:rsidRPr="00C64AE1">
              <w:rPr>
                <w:rFonts w:ascii="楷体" w:eastAsia="楷体" w:hAnsi="楷体"/>
                <w:sz w:val="22"/>
              </w:rPr>
              <w:t>-</w:t>
            </w:r>
            <w:r w:rsidRPr="00C64AE1">
              <w:rPr>
                <w:rFonts w:ascii="楷体" w:eastAsia="楷体" w:hAnsi="楷体" w:hint="eastAsia"/>
                <w:sz w:val="22"/>
              </w:rPr>
              <w:t>24</w:t>
            </w:r>
          </w:p>
        </w:tc>
        <w:tc>
          <w:tcPr>
            <w:tcW w:w="833" w:type="pct"/>
            <w:tcBorders>
              <w:top w:val="dotted" w:sz="4" w:space="0" w:color="auto"/>
              <w:left w:val="dotted" w:sz="4" w:space="0" w:color="auto"/>
              <w:bottom w:val="single" w:sz="12" w:space="0" w:color="C00000"/>
              <w:right w:val="dotted" w:sz="4" w:space="0" w:color="auto"/>
            </w:tcBorders>
            <w:vAlign w:val="center"/>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2018</w:t>
            </w:r>
            <w:r w:rsidRPr="00C64AE1">
              <w:rPr>
                <w:rFonts w:ascii="楷体" w:eastAsia="楷体" w:hAnsi="楷体"/>
                <w:sz w:val="22"/>
              </w:rPr>
              <w:t>-</w:t>
            </w:r>
            <w:r w:rsidRPr="00C64AE1">
              <w:rPr>
                <w:rFonts w:ascii="楷体" w:eastAsia="楷体" w:hAnsi="楷体" w:hint="eastAsia"/>
                <w:sz w:val="22"/>
              </w:rPr>
              <w:t>10</w:t>
            </w:r>
            <w:r w:rsidRPr="00C64AE1">
              <w:rPr>
                <w:rFonts w:ascii="楷体" w:eastAsia="楷体" w:hAnsi="楷体"/>
                <w:sz w:val="22"/>
              </w:rPr>
              <w:t>-</w:t>
            </w:r>
            <w:r w:rsidRPr="00C64AE1">
              <w:rPr>
                <w:rFonts w:ascii="楷体" w:eastAsia="楷体" w:hAnsi="楷体" w:hint="eastAsia"/>
                <w:sz w:val="22"/>
              </w:rPr>
              <w:t>19</w:t>
            </w:r>
          </w:p>
        </w:tc>
        <w:tc>
          <w:tcPr>
            <w:tcW w:w="833" w:type="pct"/>
            <w:tcBorders>
              <w:top w:val="dotted" w:sz="4" w:space="0" w:color="auto"/>
              <w:left w:val="dotted" w:sz="4" w:space="0" w:color="auto"/>
              <w:bottom w:val="single" w:sz="12" w:space="0" w:color="C00000"/>
              <w:right w:val="dotted" w:sz="4" w:space="0" w:color="auto"/>
            </w:tcBorders>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-28.35%</w:t>
            </w:r>
          </w:p>
        </w:tc>
        <w:tc>
          <w:tcPr>
            <w:tcW w:w="833" w:type="pct"/>
            <w:tcBorders>
              <w:top w:val="dotted" w:sz="4" w:space="0" w:color="auto"/>
              <w:left w:val="dotted" w:sz="4" w:space="0" w:color="auto"/>
              <w:bottom w:val="single" w:sz="12" w:space="0" w:color="C00000"/>
              <w:right w:val="dotted" w:sz="4" w:space="0" w:color="auto"/>
            </w:tcBorders>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177天</w:t>
            </w:r>
          </w:p>
        </w:tc>
        <w:tc>
          <w:tcPr>
            <w:tcW w:w="834" w:type="pct"/>
            <w:tcBorders>
              <w:top w:val="dotted" w:sz="4" w:space="0" w:color="auto"/>
              <w:left w:val="dotted" w:sz="4" w:space="0" w:color="auto"/>
              <w:bottom w:val="single" w:sz="12" w:space="0" w:color="C00000"/>
              <w:right w:val="dotted" w:sz="4" w:space="0" w:color="auto"/>
            </w:tcBorders>
          </w:tcPr>
          <w:p w:rsidR="008F5F4F" w:rsidRPr="00C64AE1" w:rsidRDefault="008F5F4F" w:rsidP="00697663">
            <w:pPr>
              <w:jc w:val="center"/>
              <w:rPr>
                <w:rFonts w:ascii="楷体" w:eastAsia="楷体" w:hAnsi="楷体"/>
                <w:sz w:val="22"/>
              </w:rPr>
            </w:pPr>
            <w:r w:rsidRPr="00C64AE1">
              <w:rPr>
                <w:rFonts w:ascii="楷体" w:eastAsia="楷体" w:hAnsi="楷体" w:hint="eastAsia"/>
                <w:sz w:val="22"/>
              </w:rPr>
              <w:t>1.0000</w:t>
            </w:r>
          </w:p>
        </w:tc>
      </w:tr>
    </w:tbl>
    <w:p w:rsidR="003F248D" w:rsidRPr="00C64AE1" w:rsidRDefault="003F248D" w:rsidP="000A7B61">
      <w:pPr>
        <w:pStyle w:val="af2"/>
        <w:spacing w:after="156"/>
        <w:ind w:leftChars="0" w:left="0" w:firstLineChars="150" w:firstLine="300"/>
        <w:rPr>
          <w:rFonts w:ascii="楷体" w:eastAsia="楷体" w:hAnsi="楷体"/>
          <w:sz w:val="20"/>
          <w:szCs w:val="20"/>
        </w:rPr>
      </w:pPr>
      <w:r w:rsidRPr="00C64AE1">
        <w:rPr>
          <w:rFonts w:ascii="楷体" w:eastAsia="楷体" w:hAnsi="楷体" w:cs="Arial" w:hint="eastAsia"/>
          <w:sz w:val="20"/>
          <w:szCs w:val="20"/>
        </w:rPr>
        <w:t>资料来源：Wind，中山证券研究所</w:t>
      </w:r>
      <w:r w:rsidR="008F5F4F" w:rsidRPr="00C64AE1">
        <w:rPr>
          <w:rFonts w:ascii="楷体" w:eastAsia="楷体" w:hAnsi="楷体" w:cs="Arial" w:hint="eastAsia"/>
          <w:sz w:val="20"/>
          <w:szCs w:val="20"/>
        </w:rPr>
        <w:t>，天：以交易日计算。</w:t>
      </w:r>
    </w:p>
    <w:p w:rsidR="00A240E6" w:rsidRPr="00C64AE1" w:rsidRDefault="00A240E6" w:rsidP="008F5F4F">
      <w:pPr>
        <w:pStyle w:val="af2"/>
        <w:spacing w:afterLines="0" w:line="60" w:lineRule="exact"/>
        <w:ind w:leftChars="1215" w:left="2551" w:firstLine="420"/>
        <w:rPr>
          <w:rFonts w:ascii="楷体" w:eastAsia="楷体" w:hAnsi="楷体"/>
        </w:rPr>
      </w:pPr>
    </w:p>
    <w:tbl>
      <w:tblPr>
        <w:tblW w:w="10631" w:type="dxa"/>
        <w:tblInd w:w="284" w:type="dxa"/>
        <w:tblBorders>
          <w:insideH w:val="double" w:sz="4" w:space="0" w:color="333399"/>
          <w:insideV w:val="double" w:sz="4" w:space="0" w:color="333399"/>
        </w:tblBorders>
        <w:tblLayout w:type="fixed"/>
        <w:tblCellMar>
          <w:left w:w="0" w:type="dxa"/>
          <w:right w:w="0" w:type="dxa"/>
        </w:tblCellMar>
        <w:tblLook w:val="04A0"/>
      </w:tblPr>
      <w:tblGrid>
        <w:gridCol w:w="425"/>
        <w:gridCol w:w="10206"/>
      </w:tblGrid>
      <w:tr w:rsidR="00253FFA" w:rsidRPr="00C64AE1" w:rsidTr="008F5F4F">
        <w:trPr>
          <w:gridBefore w:val="1"/>
          <w:wBefore w:w="425" w:type="dxa"/>
          <w:trHeight w:val="343"/>
        </w:trPr>
        <w:tc>
          <w:tcPr>
            <w:tcW w:w="10206" w:type="dxa"/>
            <w:tcBorders>
              <w:top w:val="nil"/>
              <w:bottom w:val="single" w:sz="12" w:space="0" w:color="CC0000"/>
            </w:tcBorders>
            <w:shd w:val="clear" w:color="auto" w:fill="auto"/>
            <w:vAlign w:val="bottom"/>
          </w:tcPr>
          <w:p w:rsidR="00253FFA" w:rsidRPr="00C64AE1" w:rsidRDefault="00D45ED0" w:rsidP="00D45ED0">
            <w:pPr>
              <w:keepNext/>
              <w:keepLines/>
              <w:rPr>
                <w:rFonts w:ascii="楷体" w:eastAsia="楷体" w:hAnsi="楷体" w:cs="Times New Roman"/>
                <w:sz w:val="20"/>
                <w:szCs w:val="20"/>
              </w:rPr>
            </w:pPr>
            <w:r w:rsidRPr="00C64AE1">
              <w:rPr>
                <w:rFonts w:ascii="楷体" w:eastAsia="楷体" w:hAnsi="楷体" w:cs="Times New Roman" w:hint="eastAsia"/>
                <w:sz w:val="20"/>
                <w:szCs w:val="20"/>
              </w:rPr>
              <w:lastRenderedPageBreak/>
              <w:t>图20  （</w:t>
            </w:r>
            <w:r w:rsidR="00253FFA" w:rsidRPr="00C64AE1">
              <w:rPr>
                <w:rFonts w:ascii="楷体" w:eastAsia="楷体" w:hAnsi="楷体" w:cs="Times New Roman" w:hint="eastAsia"/>
                <w:sz w:val="20"/>
                <w:szCs w:val="20"/>
              </w:rPr>
              <w:t>2018年以来</w:t>
            </w:r>
            <w:r w:rsidR="000A5FE0" w:rsidRPr="00C64AE1">
              <w:rPr>
                <w:rFonts w:ascii="楷体" w:eastAsia="楷体" w:hAnsi="楷体" w:cs="Times New Roman" w:hint="eastAsia"/>
                <w:sz w:val="20"/>
                <w:szCs w:val="20"/>
              </w:rPr>
              <w:t>上证综</w:t>
            </w:r>
            <w:r w:rsidR="00253FFA" w:rsidRPr="00C64AE1">
              <w:rPr>
                <w:rFonts w:ascii="楷体" w:eastAsia="楷体" w:hAnsi="楷体" w:cs="Times New Roman" w:hint="eastAsia"/>
                <w:sz w:val="20"/>
                <w:szCs w:val="20"/>
              </w:rPr>
              <w:t>指</w:t>
            </w:r>
            <w:r w:rsidR="000A5FE0" w:rsidRPr="00C64AE1">
              <w:rPr>
                <w:rFonts w:ascii="楷体" w:eastAsia="楷体" w:hAnsi="楷体" w:cs="Times New Roman" w:hint="eastAsia"/>
                <w:sz w:val="20"/>
                <w:szCs w:val="20"/>
              </w:rPr>
              <w:t>与历史相似片段</w:t>
            </w:r>
            <w:r w:rsidR="00253FFA" w:rsidRPr="00C64AE1">
              <w:rPr>
                <w:rFonts w:ascii="楷体" w:eastAsia="楷体" w:hAnsi="楷体" w:cs="Times New Roman" w:hint="eastAsia"/>
                <w:sz w:val="20"/>
                <w:szCs w:val="20"/>
              </w:rPr>
              <w:t>走势图</w:t>
            </w:r>
            <w:r w:rsidRPr="00C64AE1">
              <w:rPr>
                <w:rFonts w:ascii="楷体" w:eastAsia="楷体" w:hAnsi="楷体" w:cs="Times New Roman" w:hint="eastAsia"/>
                <w:sz w:val="20"/>
                <w:szCs w:val="20"/>
              </w:rPr>
              <w:t>）</w:t>
            </w:r>
          </w:p>
        </w:tc>
      </w:tr>
      <w:tr w:rsidR="00253FFA" w:rsidRPr="00C64AE1" w:rsidTr="008F5F4F">
        <w:tblPrEx>
          <w:tblCellMar>
            <w:left w:w="108" w:type="dxa"/>
            <w:right w:w="108" w:type="dxa"/>
          </w:tblCellMar>
        </w:tblPrEx>
        <w:trPr>
          <w:trHeight w:hRule="exact" w:val="4417"/>
        </w:trPr>
        <w:tc>
          <w:tcPr>
            <w:tcW w:w="10631" w:type="dxa"/>
            <w:gridSpan w:val="2"/>
            <w:tcBorders>
              <w:top w:val="single" w:sz="12" w:space="0" w:color="CC0000"/>
              <w:bottom w:val="single" w:sz="12" w:space="0" w:color="CC0000"/>
            </w:tcBorders>
            <w:shd w:val="clear" w:color="auto" w:fill="auto"/>
          </w:tcPr>
          <w:p w:rsidR="00253FFA" w:rsidRPr="00C64AE1" w:rsidRDefault="00A00208" w:rsidP="00A00208">
            <w:pPr>
              <w:keepNext/>
              <w:keepLines/>
              <w:ind w:leftChars="-793" w:right="420" w:hangingChars="793" w:hanging="1665"/>
              <w:jc w:val="right"/>
              <w:rPr>
                <w:rFonts w:ascii="楷体" w:eastAsia="楷体" w:hAnsi="楷体" w:cs="Times New Roman"/>
                <w:szCs w:val="21"/>
              </w:rPr>
            </w:pPr>
            <w:r w:rsidRPr="00C64AE1">
              <w:rPr>
                <w:rFonts w:ascii="楷体" w:eastAsia="楷体" w:hAnsi="楷体" w:cs="Times New Roman"/>
                <w:noProof/>
                <w:szCs w:val="21"/>
              </w:rPr>
              <w:drawing>
                <wp:inline distT="0" distB="0" distL="0" distR="0">
                  <wp:extent cx="6095941" cy="2660072"/>
                  <wp:effectExtent l="19050" t="0" r="59" b="0"/>
                  <wp:docPr id="21" name="图片 20" descr="2018年以来上证综指与历史相似片段走势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年以来上证综指与历史相似片段走势图.png"/>
                          <pic:cNvPicPr/>
                        </pic:nvPicPr>
                        <pic:blipFill>
                          <a:blip r:embed="rId37"/>
                          <a:stretch>
                            <a:fillRect/>
                          </a:stretch>
                        </pic:blipFill>
                        <pic:spPr>
                          <a:xfrm>
                            <a:off x="0" y="0"/>
                            <a:ext cx="6100768" cy="2662178"/>
                          </a:xfrm>
                          <a:prstGeom prst="rect">
                            <a:avLst/>
                          </a:prstGeom>
                        </pic:spPr>
                      </pic:pic>
                    </a:graphicData>
                  </a:graphic>
                </wp:inline>
              </w:drawing>
            </w:r>
          </w:p>
        </w:tc>
      </w:tr>
      <w:tr w:rsidR="00253FFA" w:rsidRPr="00C64AE1" w:rsidTr="008F5F4F">
        <w:trPr>
          <w:gridBefore w:val="1"/>
          <w:wBefore w:w="425" w:type="dxa"/>
          <w:trHeight w:val="343"/>
        </w:trPr>
        <w:tc>
          <w:tcPr>
            <w:tcW w:w="10206" w:type="dxa"/>
            <w:tcBorders>
              <w:top w:val="single" w:sz="12" w:space="0" w:color="CC0000"/>
              <w:bottom w:val="nil"/>
            </w:tcBorders>
            <w:shd w:val="clear" w:color="auto" w:fill="auto"/>
            <w:vAlign w:val="bottom"/>
          </w:tcPr>
          <w:p w:rsidR="00253FFA" w:rsidRPr="00C64AE1" w:rsidRDefault="00253FFA" w:rsidP="00253FFA">
            <w:pPr>
              <w:keepNext/>
              <w:keepLines/>
              <w:rPr>
                <w:rFonts w:ascii="楷体" w:eastAsia="楷体" w:hAnsi="楷体" w:cs="Times New Roman"/>
                <w:sz w:val="20"/>
                <w:szCs w:val="20"/>
              </w:rPr>
            </w:pPr>
            <w:r w:rsidRPr="00C64AE1">
              <w:rPr>
                <w:rFonts w:ascii="楷体" w:eastAsia="楷体" w:hAnsi="楷体" w:cs="Times New Roman" w:hint="eastAsia"/>
                <w:sz w:val="20"/>
                <w:szCs w:val="20"/>
              </w:rPr>
              <w:t>资料来源：中山证券研究所</w:t>
            </w:r>
            <w:r w:rsidRPr="00C64AE1">
              <w:rPr>
                <w:rFonts w:ascii="楷体" w:eastAsia="楷体" w:hAnsi="楷体" w:cs="Times New Roman"/>
                <w:sz w:val="20"/>
                <w:szCs w:val="20"/>
              </w:rPr>
              <w:t xml:space="preserve"> </w:t>
            </w:r>
          </w:p>
        </w:tc>
      </w:tr>
    </w:tbl>
    <w:p w:rsidR="00A23627" w:rsidRPr="00C64AE1" w:rsidRDefault="00DF221D"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各相似片段内，</w:t>
      </w:r>
      <w:r w:rsidR="0052620F" w:rsidRPr="00C64AE1">
        <w:rPr>
          <w:rFonts w:ascii="楷体" w:eastAsia="楷体" w:hAnsi="楷体" w:cs="Times New Roman" w:hint="eastAsia"/>
        </w:rPr>
        <w:t>上证综指的涨跌幅度接近30%，持续时长约为180</w:t>
      </w:r>
      <w:r w:rsidR="00A23627" w:rsidRPr="00C64AE1">
        <w:rPr>
          <w:rFonts w:ascii="楷体" w:eastAsia="楷体" w:hAnsi="楷体" w:cs="Times New Roman" w:hint="eastAsia"/>
        </w:rPr>
        <w:t>个交易日，且价格走势上</w:t>
      </w:r>
      <w:r w:rsidR="0052620F" w:rsidRPr="00C64AE1">
        <w:rPr>
          <w:rFonts w:ascii="楷体" w:eastAsia="楷体" w:hAnsi="楷体" w:cs="Times New Roman" w:hint="eastAsia"/>
        </w:rPr>
        <w:t>，指数的相关性最低0.8444</w:t>
      </w:r>
      <w:r w:rsidR="00625C58" w:rsidRPr="00C64AE1">
        <w:rPr>
          <w:rFonts w:ascii="楷体" w:eastAsia="楷体" w:hAnsi="楷体" w:cs="Times New Roman" w:hint="eastAsia"/>
        </w:rPr>
        <w:t>，最高达</w:t>
      </w:r>
      <w:r w:rsidR="00F45B2C" w:rsidRPr="00C64AE1">
        <w:rPr>
          <w:rFonts w:ascii="楷体" w:eastAsia="楷体" w:hAnsi="楷体" w:cs="Times New Roman" w:hint="eastAsia"/>
        </w:rPr>
        <w:t>0.9072，价格指数、持续时间以及区间内涨幅皆与2018年1月24日以来上证综指的走势具有良好的相似性，</w:t>
      </w:r>
      <w:r w:rsidR="00EC6405" w:rsidRPr="00C64AE1">
        <w:rPr>
          <w:rFonts w:ascii="楷体" w:eastAsia="楷体" w:hAnsi="楷体" w:cs="Times New Roman" w:hint="eastAsia"/>
        </w:rPr>
        <w:t>在价格指数高相似性的数据背景下，</w:t>
      </w:r>
      <w:r w:rsidR="00F45B2C" w:rsidRPr="00C64AE1">
        <w:rPr>
          <w:rFonts w:ascii="楷体" w:eastAsia="楷体" w:hAnsi="楷体" w:cs="Times New Roman" w:hint="eastAsia"/>
        </w:rPr>
        <w:t>研究与分析</w:t>
      </w:r>
      <w:r w:rsidR="008B4745" w:rsidRPr="00C64AE1">
        <w:rPr>
          <w:rFonts w:ascii="楷体" w:eastAsia="楷体" w:hAnsi="楷体" w:cs="Times New Roman" w:hint="eastAsia"/>
        </w:rPr>
        <w:t>相似历史片段的发展规律，</w:t>
      </w:r>
      <w:r w:rsidR="00EC6405" w:rsidRPr="00C64AE1">
        <w:rPr>
          <w:rFonts w:ascii="楷体" w:eastAsia="楷体" w:hAnsi="楷体" w:cs="Times New Roman" w:hint="eastAsia"/>
        </w:rPr>
        <w:t>为</w:t>
      </w:r>
      <w:r w:rsidR="008B4745" w:rsidRPr="00C64AE1">
        <w:rPr>
          <w:rFonts w:ascii="楷体" w:eastAsia="楷体" w:hAnsi="楷体" w:cs="Times New Roman" w:hint="eastAsia"/>
        </w:rPr>
        <w:t>预判沪深两市2019年上半年发展趋势</w:t>
      </w:r>
      <w:r w:rsidR="00EC6405" w:rsidRPr="00C64AE1">
        <w:rPr>
          <w:rFonts w:ascii="楷体" w:eastAsia="楷体" w:hAnsi="楷体" w:cs="Times New Roman" w:hint="eastAsia"/>
        </w:rPr>
        <w:t>提供间接论据</w:t>
      </w:r>
      <w:r w:rsidR="0052620F" w:rsidRPr="00C64AE1">
        <w:rPr>
          <w:rFonts w:ascii="楷体" w:eastAsia="楷体" w:hAnsi="楷体" w:cs="Times New Roman" w:hint="eastAsia"/>
        </w:rPr>
        <w:t>。</w:t>
      </w:r>
    </w:p>
    <w:p w:rsidR="009D559F" w:rsidRPr="00C64AE1" w:rsidRDefault="008B4745"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据此，我们</w:t>
      </w:r>
      <w:r w:rsidR="00100B70" w:rsidRPr="00C64AE1">
        <w:rPr>
          <w:rFonts w:ascii="楷体" w:eastAsia="楷体" w:hAnsi="楷体" w:cs="Times New Roman" w:hint="eastAsia"/>
        </w:rPr>
        <w:t>基于上述三个视角，</w:t>
      </w:r>
      <w:r w:rsidRPr="00C64AE1">
        <w:rPr>
          <w:rFonts w:ascii="楷体" w:eastAsia="楷体" w:hAnsi="楷体" w:cs="Times New Roman" w:hint="eastAsia"/>
        </w:rPr>
        <w:t>寻找</w:t>
      </w:r>
      <w:r w:rsidR="00100B70" w:rsidRPr="00C64AE1">
        <w:rPr>
          <w:rFonts w:ascii="楷体" w:eastAsia="楷体" w:hAnsi="楷体" w:cs="Times New Roman" w:hint="eastAsia"/>
        </w:rPr>
        <w:t>上证综指</w:t>
      </w:r>
      <w:r w:rsidRPr="00C64AE1">
        <w:rPr>
          <w:rFonts w:ascii="楷体" w:eastAsia="楷体" w:hAnsi="楷体" w:cs="Times New Roman" w:hint="eastAsia"/>
        </w:rPr>
        <w:t>历史片段</w:t>
      </w:r>
      <w:r w:rsidR="00100B70" w:rsidRPr="00C64AE1">
        <w:rPr>
          <w:rFonts w:ascii="楷体" w:eastAsia="楷体" w:hAnsi="楷体" w:cs="Times New Roman" w:hint="eastAsia"/>
        </w:rPr>
        <w:t>与2018年1月24日以来的相似时间段分别：2011-04-18至2012-01-05、2004-09-23至2005-07-11以及2004-04-07至2004-12-31。</w:t>
      </w:r>
      <w:r w:rsidR="00756869" w:rsidRPr="00C64AE1">
        <w:rPr>
          <w:rFonts w:ascii="楷体" w:eastAsia="楷体" w:hAnsi="楷体" w:cs="Times New Roman" w:hint="eastAsia"/>
        </w:rPr>
        <w:t>相似时间片段1、2、3对应未来</w:t>
      </w:r>
      <w:r w:rsidR="009D559F" w:rsidRPr="00C64AE1">
        <w:rPr>
          <w:rFonts w:ascii="楷体" w:eastAsia="楷体" w:hAnsi="楷体" w:cs="Times New Roman" w:hint="eastAsia"/>
        </w:rPr>
        <w:t>1个月、3个月与</w:t>
      </w:r>
      <w:r w:rsidR="00756869" w:rsidRPr="00C64AE1">
        <w:rPr>
          <w:rFonts w:ascii="楷体" w:eastAsia="楷体" w:hAnsi="楷体" w:cs="Times New Roman" w:hint="eastAsia"/>
        </w:rPr>
        <w:t>6个月</w:t>
      </w:r>
      <w:r w:rsidR="009D559F" w:rsidRPr="00C64AE1">
        <w:rPr>
          <w:rFonts w:ascii="楷体" w:eastAsia="楷体" w:hAnsi="楷体" w:cs="Times New Roman" w:hint="eastAsia"/>
        </w:rPr>
        <w:t>对应的指数涨跌幅</w:t>
      </w:r>
      <w:r w:rsidR="007A133A" w:rsidRPr="00C64AE1">
        <w:rPr>
          <w:rFonts w:ascii="楷体" w:eastAsia="楷体" w:hAnsi="楷体" w:cs="Times New Roman" w:hint="eastAsia"/>
        </w:rPr>
        <w:t>。</w:t>
      </w:r>
      <w:r w:rsidR="009D559F" w:rsidRPr="00C64AE1">
        <w:rPr>
          <w:rFonts w:ascii="楷体" w:eastAsia="楷体" w:hAnsi="楷体" w:cs="Times New Roman" w:hint="eastAsia"/>
        </w:rPr>
        <w:t>详情如表5所示：</w:t>
      </w:r>
    </w:p>
    <w:p w:rsidR="00510BBA" w:rsidRPr="00C64AE1" w:rsidRDefault="00510BBA" w:rsidP="007A4F02">
      <w:pPr>
        <w:pStyle w:val="af2"/>
        <w:spacing w:afterLines="0"/>
        <w:ind w:leftChars="0" w:left="0" w:firstLineChars="150" w:firstLine="300"/>
        <w:rPr>
          <w:rFonts w:ascii="楷体" w:eastAsia="楷体" w:hAnsi="楷体"/>
          <w:sz w:val="20"/>
          <w:szCs w:val="20"/>
        </w:rPr>
      </w:pPr>
    </w:p>
    <w:p w:rsidR="00FF00C0" w:rsidRPr="00C64AE1" w:rsidRDefault="00FF00C0" w:rsidP="007A4F02">
      <w:pPr>
        <w:pStyle w:val="af2"/>
        <w:spacing w:afterLines="0"/>
        <w:ind w:leftChars="0" w:left="0" w:firstLineChars="150" w:firstLine="300"/>
        <w:rPr>
          <w:rFonts w:ascii="楷体" w:eastAsia="楷体" w:hAnsi="楷体" w:cs="Arial"/>
          <w:kern w:val="0"/>
          <w:sz w:val="20"/>
          <w:szCs w:val="20"/>
        </w:rPr>
      </w:pPr>
      <w:r w:rsidRPr="00C64AE1">
        <w:rPr>
          <w:rFonts w:ascii="楷体" w:eastAsia="楷体" w:hAnsi="楷体" w:hint="eastAsia"/>
          <w:sz w:val="20"/>
          <w:szCs w:val="20"/>
        </w:rPr>
        <w:t>表5</w:t>
      </w:r>
      <w:r w:rsidRPr="00C64AE1">
        <w:rPr>
          <w:rFonts w:ascii="楷体" w:eastAsia="楷体" w:hAnsi="楷体"/>
          <w:sz w:val="20"/>
          <w:szCs w:val="20"/>
        </w:rPr>
        <w:t xml:space="preserve">  </w:t>
      </w:r>
      <w:r w:rsidRPr="00C64AE1">
        <w:rPr>
          <w:rFonts w:ascii="楷体" w:eastAsia="楷体" w:hAnsi="楷体" w:hint="eastAsia"/>
          <w:sz w:val="20"/>
          <w:szCs w:val="20"/>
        </w:rPr>
        <w:t>相似片段未来1、3与6个月的涨跌幅</w:t>
      </w:r>
    </w:p>
    <w:tbl>
      <w:tblPr>
        <w:tblW w:w="4822" w:type="pct"/>
        <w:jc w:val="right"/>
        <w:tblInd w:w="392" w:type="dxa"/>
        <w:tblLook w:val="04A0"/>
      </w:tblPr>
      <w:tblGrid>
        <w:gridCol w:w="1766"/>
        <w:gridCol w:w="1766"/>
        <w:gridCol w:w="1766"/>
        <w:gridCol w:w="1766"/>
        <w:gridCol w:w="1765"/>
        <w:gridCol w:w="1768"/>
      </w:tblGrid>
      <w:tr w:rsidR="00FF00C0" w:rsidRPr="00C64AE1" w:rsidTr="00F45B2C">
        <w:trPr>
          <w:trHeight w:val="213"/>
          <w:jc w:val="right"/>
        </w:trPr>
        <w:tc>
          <w:tcPr>
            <w:tcW w:w="833" w:type="pct"/>
            <w:tcBorders>
              <w:top w:val="single" w:sz="12" w:space="0" w:color="BE0000"/>
              <w:left w:val="dotted" w:sz="4" w:space="0" w:color="auto"/>
              <w:bottom w:val="single" w:sz="6" w:space="0" w:color="BE0000"/>
              <w:right w:val="dotted" w:sz="4" w:space="0" w:color="auto"/>
            </w:tcBorders>
            <w:vAlign w:val="center"/>
          </w:tcPr>
          <w:p w:rsidR="00FF00C0" w:rsidRPr="00C64AE1" w:rsidRDefault="00FF00C0" w:rsidP="00F45B2C">
            <w:pPr>
              <w:widowControl/>
              <w:jc w:val="center"/>
              <w:rPr>
                <w:rFonts w:ascii="楷体" w:eastAsia="楷体" w:hAnsi="楷体"/>
                <w:kern w:val="0"/>
                <w:sz w:val="22"/>
              </w:rPr>
            </w:pPr>
          </w:p>
        </w:tc>
        <w:tc>
          <w:tcPr>
            <w:tcW w:w="833" w:type="pct"/>
            <w:tcBorders>
              <w:top w:val="single" w:sz="12" w:space="0" w:color="BE0000"/>
              <w:left w:val="dotted" w:sz="4" w:space="0" w:color="auto"/>
              <w:bottom w:val="single" w:sz="6" w:space="0" w:color="BE0000"/>
              <w:right w:val="dotted" w:sz="4" w:space="0" w:color="auto"/>
            </w:tcBorders>
            <w:vAlign w:val="center"/>
          </w:tcPr>
          <w:p w:rsidR="00FF00C0" w:rsidRPr="00C64AE1" w:rsidRDefault="00FF00C0" w:rsidP="00F45B2C">
            <w:pPr>
              <w:jc w:val="center"/>
              <w:rPr>
                <w:rFonts w:ascii="楷体" w:eastAsia="楷体" w:hAnsi="楷体"/>
                <w:sz w:val="22"/>
              </w:rPr>
            </w:pPr>
            <w:r w:rsidRPr="00C64AE1">
              <w:rPr>
                <w:rFonts w:ascii="楷体" w:eastAsia="楷体" w:hAnsi="楷体" w:hint="eastAsia"/>
                <w:sz w:val="22"/>
              </w:rPr>
              <w:t>起始时间</w:t>
            </w:r>
          </w:p>
        </w:tc>
        <w:tc>
          <w:tcPr>
            <w:tcW w:w="833" w:type="pct"/>
            <w:tcBorders>
              <w:top w:val="single" w:sz="12" w:space="0" w:color="BE0000"/>
              <w:left w:val="dotted" w:sz="4" w:space="0" w:color="auto"/>
              <w:bottom w:val="single" w:sz="6" w:space="0" w:color="BE0000"/>
              <w:right w:val="dotted" w:sz="4" w:space="0" w:color="auto"/>
            </w:tcBorders>
            <w:vAlign w:val="center"/>
          </w:tcPr>
          <w:p w:rsidR="00FF00C0" w:rsidRPr="00C64AE1" w:rsidRDefault="00FF00C0" w:rsidP="00F45B2C">
            <w:pPr>
              <w:jc w:val="center"/>
              <w:rPr>
                <w:rFonts w:ascii="楷体" w:eastAsia="楷体" w:hAnsi="楷体"/>
                <w:sz w:val="22"/>
              </w:rPr>
            </w:pPr>
            <w:r w:rsidRPr="00C64AE1">
              <w:rPr>
                <w:rFonts w:ascii="楷体" w:eastAsia="楷体" w:hAnsi="楷体" w:hint="eastAsia"/>
                <w:sz w:val="22"/>
              </w:rPr>
              <w:t>结束时间</w:t>
            </w:r>
          </w:p>
        </w:tc>
        <w:tc>
          <w:tcPr>
            <w:tcW w:w="833" w:type="pct"/>
            <w:tcBorders>
              <w:top w:val="single" w:sz="12" w:space="0" w:color="BE0000"/>
              <w:left w:val="dotted" w:sz="4" w:space="0" w:color="auto"/>
              <w:bottom w:val="single" w:sz="6" w:space="0" w:color="BE0000"/>
              <w:right w:val="dotted" w:sz="4" w:space="0" w:color="auto"/>
            </w:tcBorders>
          </w:tcPr>
          <w:p w:rsidR="00FF00C0" w:rsidRPr="00C64AE1" w:rsidRDefault="00FF00C0" w:rsidP="00F45B2C">
            <w:pPr>
              <w:jc w:val="center"/>
              <w:rPr>
                <w:rFonts w:ascii="楷体" w:eastAsia="楷体" w:hAnsi="楷体"/>
                <w:sz w:val="22"/>
              </w:rPr>
            </w:pPr>
            <w:r w:rsidRPr="00C64AE1">
              <w:rPr>
                <w:rFonts w:ascii="楷体" w:eastAsia="楷体" w:hAnsi="楷体" w:hint="eastAsia"/>
                <w:sz w:val="22"/>
              </w:rPr>
              <w:t>未来1月涨跌幅</w:t>
            </w:r>
          </w:p>
        </w:tc>
        <w:tc>
          <w:tcPr>
            <w:tcW w:w="833" w:type="pct"/>
            <w:tcBorders>
              <w:top w:val="single" w:sz="12" w:space="0" w:color="BE0000"/>
              <w:left w:val="dotted" w:sz="4" w:space="0" w:color="auto"/>
              <w:bottom w:val="single" w:sz="6" w:space="0" w:color="BE0000"/>
              <w:right w:val="dotted" w:sz="4" w:space="0" w:color="auto"/>
            </w:tcBorders>
          </w:tcPr>
          <w:p w:rsidR="00FF00C0" w:rsidRPr="00C64AE1" w:rsidRDefault="00FF00C0" w:rsidP="00FF00C0">
            <w:pPr>
              <w:jc w:val="center"/>
              <w:rPr>
                <w:rFonts w:ascii="楷体" w:eastAsia="楷体" w:hAnsi="楷体"/>
                <w:sz w:val="22"/>
              </w:rPr>
            </w:pPr>
            <w:r w:rsidRPr="00C64AE1">
              <w:rPr>
                <w:rFonts w:ascii="楷体" w:eastAsia="楷体" w:hAnsi="楷体" w:hint="eastAsia"/>
                <w:sz w:val="22"/>
              </w:rPr>
              <w:t>未来3月涨跌幅</w:t>
            </w:r>
          </w:p>
        </w:tc>
        <w:tc>
          <w:tcPr>
            <w:tcW w:w="834" w:type="pct"/>
            <w:tcBorders>
              <w:top w:val="single" w:sz="12" w:space="0" w:color="BE0000"/>
              <w:left w:val="dotted" w:sz="4" w:space="0" w:color="auto"/>
              <w:bottom w:val="single" w:sz="6" w:space="0" w:color="BE0000"/>
              <w:right w:val="dotted" w:sz="4" w:space="0" w:color="auto"/>
            </w:tcBorders>
          </w:tcPr>
          <w:p w:rsidR="00FF00C0" w:rsidRPr="00C64AE1" w:rsidRDefault="00FF00C0" w:rsidP="00FF00C0">
            <w:pPr>
              <w:jc w:val="center"/>
              <w:rPr>
                <w:rFonts w:ascii="楷体" w:eastAsia="楷体" w:hAnsi="楷体"/>
                <w:sz w:val="22"/>
              </w:rPr>
            </w:pPr>
            <w:r w:rsidRPr="00C64AE1">
              <w:rPr>
                <w:rFonts w:ascii="楷体" w:eastAsia="楷体" w:hAnsi="楷体" w:hint="eastAsia"/>
                <w:sz w:val="22"/>
              </w:rPr>
              <w:t>未来6月涨跌幅</w:t>
            </w:r>
          </w:p>
        </w:tc>
      </w:tr>
      <w:tr w:rsidR="00FF00C0" w:rsidRPr="00C64AE1" w:rsidTr="00F45B2C">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FF00C0" w:rsidRPr="00C64AE1" w:rsidRDefault="00FF00C0" w:rsidP="00F45B2C">
            <w:pPr>
              <w:jc w:val="center"/>
              <w:rPr>
                <w:rFonts w:ascii="楷体" w:eastAsia="楷体" w:hAnsi="楷体"/>
                <w:sz w:val="22"/>
              </w:rPr>
            </w:pPr>
            <w:r w:rsidRPr="00C64AE1">
              <w:rPr>
                <w:rFonts w:ascii="楷体" w:eastAsia="楷体" w:hAnsi="楷体" w:hint="eastAsia"/>
                <w:sz w:val="22"/>
              </w:rPr>
              <w:t>相似片段1</w:t>
            </w:r>
          </w:p>
        </w:tc>
        <w:tc>
          <w:tcPr>
            <w:tcW w:w="833" w:type="pct"/>
            <w:tcBorders>
              <w:top w:val="dotted" w:sz="4" w:space="0" w:color="auto"/>
              <w:left w:val="dotted" w:sz="4" w:space="0" w:color="auto"/>
              <w:bottom w:val="dotted" w:sz="4" w:space="0" w:color="auto"/>
              <w:right w:val="dotted" w:sz="4" w:space="0" w:color="auto"/>
            </w:tcBorders>
            <w:vAlign w:val="center"/>
          </w:tcPr>
          <w:p w:rsidR="00FF00C0" w:rsidRPr="00C64AE1" w:rsidRDefault="00FF00C0" w:rsidP="00F45B2C">
            <w:pPr>
              <w:jc w:val="center"/>
              <w:rPr>
                <w:rFonts w:ascii="楷体" w:eastAsia="楷体" w:hAnsi="楷体"/>
                <w:sz w:val="22"/>
              </w:rPr>
            </w:pPr>
            <w:r w:rsidRPr="00C64AE1">
              <w:rPr>
                <w:rFonts w:ascii="楷体" w:eastAsia="楷体" w:hAnsi="楷体" w:hint="eastAsia"/>
                <w:sz w:val="22"/>
              </w:rPr>
              <w:t>2011</w:t>
            </w:r>
            <w:r w:rsidRPr="00C64AE1">
              <w:rPr>
                <w:rFonts w:ascii="楷体" w:eastAsia="楷体" w:hAnsi="楷体"/>
                <w:sz w:val="22"/>
              </w:rPr>
              <w:t>-</w:t>
            </w:r>
            <w:r w:rsidRPr="00C64AE1">
              <w:rPr>
                <w:rFonts w:ascii="楷体" w:eastAsia="楷体" w:hAnsi="楷体" w:hint="eastAsia"/>
                <w:sz w:val="22"/>
              </w:rPr>
              <w:t>04</w:t>
            </w:r>
            <w:r w:rsidRPr="00C64AE1">
              <w:rPr>
                <w:rFonts w:ascii="楷体" w:eastAsia="楷体" w:hAnsi="楷体"/>
                <w:sz w:val="22"/>
              </w:rPr>
              <w:t>-</w:t>
            </w:r>
            <w:r w:rsidRPr="00C64AE1">
              <w:rPr>
                <w:rFonts w:ascii="楷体" w:eastAsia="楷体" w:hAnsi="楷体" w:hint="eastAsia"/>
                <w:sz w:val="22"/>
              </w:rPr>
              <w:t>18</w:t>
            </w:r>
          </w:p>
        </w:tc>
        <w:tc>
          <w:tcPr>
            <w:tcW w:w="833" w:type="pct"/>
            <w:tcBorders>
              <w:top w:val="dotted" w:sz="4" w:space="0" w:color="auto"/>
              <w:left w:val="dotted" w:sz="4" w:space="0" w:color="auto"/>
              <w:bottom w:val="dotted" w:sz="4" w:space="0" w:color="auto"/>
              <w:right w:val="dotted" w:sz="4" w:space="0" w:color="auto"/>
            </w:tcBorders>
            <w:vAlign w:val="center"/>
          </w:tcPr>
          <w:p w:rsidR="00FF00C0" w:rsidRPr="00C64AE1" w:rsidRDefault="00FF00C0" w:rsidP="00F45B2C">
            <w:pPr>
              <w:jc w:val="center"/>
              <w:rPr>
                <w:rFonts w:ascii="楷体" w:eastAsia="楷体" w:hAnsi="楷体"/>
                <w:sz w:val="22"/>
              </w:rPr>
            </w:pPr>
            <w:r w:rsidRPr="00C64AE1">
              <w:rPr>
                <w:rFonts w:ascii="楷体" w:eastAsia="楷体" w:hAnsi="楷体" w:hint="eastAsia"/>
                <w:sz w:val="22"/>
              </w:rPr>
              <w:t>2012</w:t>
            </w:r>
            <w:r w:rsidRPr="00C64AE1">
              <w:rPr>
                <w:rFonts w:ascii="楷体" w:eastAsia="楷体" w:hAnsi="楷体"/>
                <w:sz w:val="22"/>
              </w:rPr>
              <w:t>-</w:t>
            </w:r>
            <w:r w:rsidRPr="00C64AE1">
              <w:rPr>
                <w:rFonts w:ascii="楷体" w:eastAsia="楷体" w:hAnsi="楷体" w:hint="eastAsia"/>
                <w:sz w:val="22"/>
              </w:rPr>
              <w:t>01</w:t>
            </w:r>
            <w:r w:rsidRPr="00C64AE1">
              <w:rPr>
                <w:rFonts w:ascii="楷体" w:eastAsia="楷体" w:hAnsi="楷体"/>
                <w:sz w:val="22"/>
              </w:rPr>
              <w:t>-</w:t>
            </w:r>
            <w:r w:rsidRPr="00C64AE1">
              <w:rPr>
                <w:rFonts w:ascii="楷体" w:eastAsia="楷体" w:hAnsi="楷体" w:hint="eastAsia"/>
                <w:sz w:val="22"/>
              </w:rPr>
              <w:t>05</w:t>
            </w:r>
          </w:p>
        </w:tc>
        <w:tc>
          <w:tcPr>
            <w:tcW w:w="833" w:type="pct"/>
            <w:tcBorders>
              <w:top w:val="dotted" w:sz="4" w:space="0" w:color="auto"/>
              <w:left w:val="dotted" w:sz="4" w:space="0" w:color="auto"/>
              <w:bottom w:val="dotted" w:sz="4" w:space="0" w:color="auto"/>
              <w:right w:val="dotted" w:sz="4" w:space="0" w:color="auto"/>
            </w:tcBorders>
          </w:tcPr>
          <w:p w:rsidR="00FF00C0" w:rsidRPr="00C64AE1" w:rsidRDefault="00794891" w:rsidP="00F45B2C">
            <w:pPr>
              <w:jc w:val="center"/>
              <w:rPr>
                <w:rFonts w:ascii="楷体" w:eastAsia="楷体" w:hAnsi="楷体"/>
                <w:sz w:val="22"/>
              </w:rPr>
            </w:pPr>
            <w:r w:rsidRPr="00C64AE1">
              <w:rPr>
                <w:rFonts w:ascii="楷体" w:eastAsia="楷体" w:hAnsi="楷体" w:hint="eastAsia"/>
                <w:sz w:val="22"/>
              </w:rPr>
              <w:t>8.47%</w:t>
            </w:r>
          </w:p>
        </w:tc>
        <w:tc>
          <w:tcPr>
            <w:tcW w:w="833" w:type="pct"/>
            <w:tcBorders>
              <w:top w:val="dotted" w:sz="4" w:space="0" w:color="auto"/>
              <w:left w:val="dotted" w:sz="4" w:space="0" w:color="auto"/>
              <w:bottom w:val="dotted" w:sz="4" w:space="0" w:color="auto"/>
              <w:right w:val="dotted" w:sz="4" w:space="0" w:color="auto"/>
            </w:tcBorders>
          </w:tcPr>
          <w:p w:rsidR="00FF00C0" w:rsidRPr="00C64AE1" w:rsidRDefault="00794891" w:rsidP="00F45B2C">
            <w:pPr>
              <w:jc w:val="center"/>
              <w:rPr>
                <w:rFonts w:ascii="楷体" w:eastAsia="楷体" w:hAnsi="楷体"/>
                <w:sz w:val="22"/>
              </w:rPr>
            </w:pPr>
            <w:r w:rsidRPr="00C64AE1">
              <w:rPr>
                <w:rFonts w:ascii="楷体" w:eastAsia="楷体" w:hAnsi="楷体" w:hint="eastAsia"/>
                <w:sz w:val="22"/>
              </w:rPr>
              <w:t>7.36%</w:t>
            </w:r>
          </w:p>
        </w:tc>
        <w:tc>
          <w:tcPr>
            <w:tcW w:w="834" w:type="pct"/>
            <w:tcBorders>
              <w:top w:val="dotted" w:sz="4" w:space="0" w:color="auto"/>
              <w:left w:val="dotted" w:sz="4" w:space="0" w:color="auto"/>
              <w:bottom w:val="dotted" w:sz="4" w:space="0" w:color="auto"/>
              <w:right w:val="dotted" w:sz="4" w:space="0" w:color="auto"/>
            </w:tcBorders>
          </w:tcPr>
          <w:p w:rsidR="00FF00C0" w:rsidRPr="00C64AE1" w:rsidRDefault="00794891" w:rsidP="00F45B2C">
            <w:pPr>
              <w:jc w:val="center"/>
              <w:rPr>
                <w:rFonts w:ascii="楷体" w:eastAsia="楷体" w:hAnsi="楷体"/>
                <w:sz w:val="22"/>
              </w:rPr>
            </w:pPr>
            <w:r w:rsidRPr="00C64AE1">
              <w:rPr>
                <w:rFonts w:ascii="楷体" w:eastAsia="楷体" w:hAnsi="楷体" w:hint="eastAsia"/>
                <w:sz w:val="22"/>
              </w:rPr>
              <w:t>2.46%</w:t>
            </w:r>
          </w:p>
        </w:tc>
      </w:tr>
      <w:tr w:rsidR="00FF00C0" w:rsidRPr="00C64AE1" w:rsidTr="00F45B2C">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FF00C0" w:rsidRPr="00C64AE1" w:rsidRDefault="00FF00C0" w:rsidP="00F45B2C">
            <w:pPr>
              <w:jc w:val="center"/>
              <w:rPr>
                <w:rFonts w:ascii="楷体" w:eastAsia="楷体" w:hAnsi="楷体"/>
                <w:sz w:val="22"/>
              </w:rPr>
            </w:pPr>
            <w:r w:rsidRPr="00C64AE1">
              <w:rPr>
                <w:rFonts w:ascii="楷体" w:eastAsia="楷体" w:hAnsi="楷体" w:hint="eastAsia"/>
                <w:sz w:val="22"/>
              </w:rPr>
              <w:t>相似片段2</w:t>
            </w:r>
          </w:p>
        </w:tc>
        <w:tc>
          <w:tcPr>
            <w:tcW w:w="833" w:type="pct"/>
            <w:tcBorders>
              <w:top w:val="dotted" w:sz="4" w:space="0" w:color="auto"/>
              <w:left w:val="dotted" w:sz="4" w:space="0" w:color="auto"/>
              <w:bottom w:val="dotted" w:sz="4" w:space="0" w:color="auto"/>
              <w:right w:val="dotted" w:sz="4" w:space="0" w:color="auto"/>
            </w:tcBorders>
            <w:vAlign w:val="center"/>
          </w:tcPr>
          <w:p w:rsidR="00FF00C0" w:rsidRPr="00C64AE1" w:rsidRDefault="00FF00C0" w:rsidP="00F45B2C">
            <w:pPr>
              <w:jc w:val="center"/>
              <w:rPr>
                <w:rFonts w:ascii="楷体" w:eastAsia="楷体" w:hAnsi="楷体"/>
                <w:sz w:val="22"/>
              </w:rPr>
            </w:pPr>
            <w:r w:rsidRPr="00C64AE1">
              <w:rPr>
                <w:rFonts w:ascii="楷体" w:eastAsia="楷体" w:hAnsi="楷体" w:hint="eastAsia"/>
                <w:sz w:val="22"/>
              </w:rPr>
              <w:t>2004</w:t>
            </w:r>
            <w:r w:rsidRPr="00C64AE1">
              <w:rPr>
                <w:rFonts w:ascii="楷体" w:eastAsia="楷体" w:hAnsi="楷体"/>
                <w:sz w:val="22"/>
              </w:rPr>
              <w:t>-</w:t>
            </w:r>
            <w:r w:rsidRPr="00C64AE1">
              <w:rPr>
                <w:rFonts w:ascii="楷体" w:eastAsia="楷体" w:hAnsi="楷体" w:hint="eastAsia"/>
                <w:sz w:val="22"/>
              </w:rPr>
              <w:t>09</w:t>
            </w:r>
            <w:r w:rsidRPr="00C64AE1">
              <w:rPr>
                <w:rFonts w:ascii="楷体" w:eastAsia="楷体" w:hAnsi="楷体"/>
                <w:sz w:val="22"/>
              </w:rPr>
              <w:t>-</w:t>
            </w:r>
            <w:r w:rsidRPr="00C64AE1">
              <w:rPr>
                <w:rFonts w:ascii="楷体" w:eastAsia="楷体" w:hAnsi="楷体" w:hint="eastAsia"/>
                <w:sz w:val="22"/>
              </w:rPr>
              <w:t>23</w:t>
            </w:r>
          </w:p>
        </w:tc>
        <w:tc>
          <w:tcPr>
            <w:tcW w:w="833" w:type="pct"/>
            <w:tcBorders>
              <w:top w:val="dotted" w:sz="4" w:space="0" w:color="auto"/>
              <w:left w:val="dotted" w:sz="4" w:space="0" w:color="auto"/>
              <w:bottom w:val="dotted" w:sz="4" w:space="0" w:color="auto"/>
              <w:right w:val="dotted" w:sz="4" w:space="0" w:color="auto"/>
            </w:tcBorders>
            <w:vAlign w:val="center"/>
          </w:tcPr>
          <w:p w:rsidR="00FF00C0" w:rsidRPr="00C64AE1" w:rsidRDefault="00FF00C0" w:rsidP="00F45B2C">
            <w:pPr>
              <w:jc w:val="center"/>
              <w:rPr>
                <w:rFonts w:ascii="楷体" w:eastAsia="楷体" w:hAnsi="楷体"/>
                <w:sz w:val="22"/>
              </w:rPr>
            </w:pPr>
            <w:r w:rsidRPr="00C64AE1">
              <w:rPr>
                <w:rFonts w:ascii="楷体" w:eastAsia="楷体" w:hAnsi="楷体" w:hint="eastAsia"/>
                <w:sz w:val="22"/>
              </w:rPr>
              <w:t>2005</w:t>
            </w:r>
            <w:r w:rsidRPr="00C64AE1">
              <w:rPr>
                <w:rFonts w:ascii="楷体" w:eastAsia="楷体" w:hAnsi="楷体"/>
                <w:sz w:val="22"/>
              </w:rPr>
              <w:t>-</w:t>
            </w:r>
            <w:r w:rsidRPr="00C64AE1">
              <w:rPr>
                <w:rFonts w:ascii="楷体" w:eastAsia="楷体" w:hAnsi="楷体" w:hint="eastAsia"/>
                <w:sz w:val="22"/>
              </w:rPr>
              <w:t>07</w:t>
            </w:r>
            <w:r w:rsidRPr="00C64AE1">
              <w:rPr>
                <w:rFonts w:ascii="楷体" w:eastAsia="楷体" w:hAnsi="楷体"/>
                <w:sz w:val="22"/>
              </w:rPr>
              <w:t>-</w:t>
            </w:r>
            <w:r w:rsidRPr="00C64AE1">
              <w:rPr>
                <w:rFonts w:ascii="楷体" w:eastAsia="楷体" w:hAnsi="楷体" w:hint="eastAsia"/>
                <w:sz w:val="22"/>
              </w:rPr>
              <w:t>11</w:t>
            </w:r>
          </w:p>
        </w:tc>
        <w:tc>
          <w:tcPr>
            <w:tcW w:w="833" w:type="pct"/>
            <w:tcBorders>
              <w:top w:val="dotted" w:sz="4" w:space="0" w:color="auto"/>
              <w:left w:val="dotted" w:sz="4" w:space="0" w:color="auto"/>
              <w:bottom w:val="dotted" w:sz="4" w:space="0" w:color="auto"/>
              <w:right w:val="dotted" w:sz="4" w:space="0" w:color="auto"/>
            </w:tcBorders>
          </w:tcPr>
          <w:p w:rsidR="00FF00C0" w:rsidRPr="00C64AE1" w:rsidRDefault="00794891" w:rsidP="00F45B2C">
            <w:pPr>
              <w:jc w:val="center"/>
              <w:rPr>
                <w:rFonts w:ascii="楷体" w:eastAsia="楷体" w:hAnsi="楷体"/>
                <w:sz w:val="22"/>
              </w:rPr>
            </w:pPr>
            <w:r w:rsidRPr="00C64AE1">
              <w:rPr>
                <w:rFonts w:ascii="楷体" w:eastAsia="楷体" w:hAnsi="楷体" w:hint="eastAsia"/>
                <w:sz w:val="22"/>
              </w:rPr>
              <w:t>15.46%</w:t>
            </w:r>
          </w:p>
        </w:tc>
        <w:tc>
          <w:tcPr>
            <w:tcW w:w="833" w:type="pct"/>
            <w:tcBorders>
              <w:top w:val="dotted" w:sz="4" w:space="0" w:color="auto"/>
              <w:left w:val="dotted" w:sz="4" w:space="0" w:color="auto"/>
              <w:bottom w:val="dotted" w:sz="4" w:space="0" w:color="auto"/>
              <w:right w:val="dotted" w:sz="4" w:space="0" w:color="auto"/>
            </w:tcBorders>
          </w:tcPr>
          <w:p w:rsidR="00FF00C0" w:rsidRPr="00C64AE1" w:rsidRDefault="00794891" w:rsidP="00F45B2C">
            <w:pPr>
              <w:jc w:val="center"/>
              <w:rPr>
                <w:rFonts w:ascii="楷体" w:eastAsia="楷体" w:hAnsi="楷体"/>
                <w:sz w:val="22"/>
              </w:rPr>
            </w:pPr>
            <w:r w:rsidRPr="00C64AE1">
              <w:rPr>
                <w:rFonts w:ascii="楷体" w:eastAsia="楷体" w:hAnsi="楷体" w:hint="eastAsia"/>
                <w:sz w:val="22"/>
              </w:rPr>
              <w:t>14.40%</w:t>
            </w:r>
          </w:p>
        </w:tc>
        <w:tc>
          <w:tcPr>
            <w:tcW w:w="834" w:type="pct"/>
            <w:tcBorders>
              <w:top w:val="dotted" w:sz="4" w:space="0" w:color="auto"/>
              <w:left w:val="dotted" w:sz="4" w:space="0" w:color="auto"/>
              <w:bottom w:val="dotted" w:sz="4" w:space="0" w:color="auto"/>
              <w:right w:val="dotted" w:sz="4" w:space="0" w:color="auto"/>
            </w:tcBorders>
          </w:tcPr>
          <w:p w:rsidR="00FF00C0" w:rsidRPr="00C64AE1" w:rsidRDefault="00794891" w:rsidP="00F45B2C">
            <w:pPr>
              <w:jc w:val="center"/>
              <w:rPr>
                <w:rFonts w:ascii="楷体" w:eastAsia="楷体" w:hAnsi="楷体"/>
                <w:sz w:val="22"/>
              </w:rPr>
            </w:pPr>
            <w:r w:rsidRPr="00C64AE1">
              <w:rPr>
                <w:rFonts w:ascii="楷体" w:eastAsia="楷体" w:hAnsi="楷体" w:hint="eastAsia"/>
                <w:sz w:val="22"/>
              </w:rPr>
              <w:t>19.73%</w:t>
            </w:r>
          </w:p>
        </w:tc>
      </w:tr>
      <w:tr w:rsidR="00FF00C0" w:rsidRPr="00C64AE1" w:rsidTr="00F45B2C">
        <w:trPr>
          <w:trHeight w:val="240"/>
          <w:jc w:val="right"/>
        </w:trPr>
        <w:tc>
          <w:tcPr>
            <w:tcW w:w="833" w:type="pct"/>
            <w:tcBorders>
              <w:top w:val="dotted" w:sz="4" w:space="0" w:color="auto"/>
              <w:left w:val="dotted" w:sz="4" w:space="0" w:color="auto"/>
              <w:bottom w:val="single" w:sz="12" w:space="0" w:color="C00000"/>
              <w:right w:val="dotted" w:sz="4" w:space="0" w:color="auto"/>
            </w:tcBorders>
            <w:vAlign w:val="center"/>
          </w:tcPr>
          <w:p w:rsidR="00FF00C0" w:rsidRPr="00C64AE1" w:rsidRDefault="00FF00C0" w:rsidP="00F45B2C">
            <w:pPr>
              <w:jc w:val="center"/>
              <w:rPr>
                <w:rFonts w:ascii="楷体" w:eastAsia="楷体" w:hAnsi="楷体"/>
                <w:sz w:val="22"/>
              </w:rPr>
            </w:pPr>
            <w:r w:rsidRPr="00C64AE1">
              <w:rPr>
                <w:rFonts w:ascii="楷体" w:eastAsia="楷体" w:hAnsi="楷体" w:hint="eastAsia"/>
                <w:sz w:val="22"/>
              </w:rPr>
              <w:t>相似片段3</w:t>
            </w:r>
          </w:p>
        </w:tc>
        <w:tc>
          <w:tcPr>
            <w:tcW w:w="833" w:type="pct"/>
            <w:tcBorders>
              <w:top w:val="dotted" w:sz="4" w:space="0" w:color="auto"/>
              <w:left w:val="dotted" w:sz="4" w:space="0" w:color="auto"/>
              <w:bottom w:val="single" w:sz="12" w:space="0" w:color="C00000"/>
              <w:right w:val="dotted" w:sz="4" w:space="0" w:color="auto"/>
            </w:tcBorders>
            <w:vAlign w:val="center"/>
          </w:tcPr>
          <w:p w:rsidR="00FF00C0" w:rsidRPr="00C64AE1" w:rsidRDefault="00FF00C0" w:rsidP="00F45B2C">
            <w:pPr>
              <w:jc w:val="center"/>
              <w:rPr>
                <w:rFonts w:ascii="楷体" w:eastAsia="楷体" w:hAnsi="楷体"/>
                <w:sz w:val="22"/>
              </w:rPr>
            </w:pPr>
            <w:r w:rsidRPr="00C64AE1">
              <w:rPr>
                <w:rFonts w:ascii="楷体" w:eastAsia="楷体" w:hAnsi="楷体" w:hint="eastAsia"/>
                <w:sz w:val="22"/>
              </w:rPr>
              <w:t>2004-04-07</w:t>
            </w:r>
          </w:p>
        </w:tc>
        <w:tc>
          <w:tcPr>
            <w:tcW w:w="833" w:type="pct"/>
            <w:tcBorders>
              <w:top w:val="dotted" w:sz="4" w:space="0" w:color="auto"/>
              <w:left w:val="dotted" w:sz="4" w:space="0" w:color="auto"/>
              <w:bottom w:val="single" w:sz="12" w:space="0" w:color="C00000"/>
              <w:right w:val="dotted" w:sz="4" w:space="0" w:color="auto"/>
            </w:tcBorders>
            <w:vAlign w:val="center"/>
          </w:tcPr>
          <w:p w:rsidR="00FF00C0" w:rsidRPr="00C64AE1" w:rsidRDefault="00FF00C0" w:rsidP="00F45B2C">
            <w:pPr>
              <w:jc w:val="center"/>
              <w:rPr>
                <w:rFonts w:ascii="楷体" w:eastAsia="楷体" w:hAnsi="楷体"/>
                <w:sz w:val="22"/>
              </w:rPr>
            </w:pPr>
            <w:r w:rsidRPr="00C64AE1">
              <w:rPr>
                <w:rFonts w:ascii="楷体" w:eastAsia="楷体" w:hAnsi="楷体" w:hint="eastAsia"/>
                <w:sz w:val="22"/>
              </w:rPr>
              <w:t>2004-12-31</w:t>
            </w:r>
          </w:p>
        </w:tc>
        <w:tc>
          <w:tcPr>
            <w:tcW w:w="833" w:type="pct"/>
            <w:tcBorders>
              <w:top w:val="dotted" w:sz="4" w:space="0" w:color="auto"/>
              <w:left w:val="dotted" w:sz="4" w:space="0" w:color="auto"/>
              <w:bottom w:val="single" w:sz="12" w:space="0" w:color="C00000"/>
              <w:right w:val="dotted" w:sz="4" w:space="0" w:color="auto"/>
            </w:tcBorders>
          </w:tcPr>
          <w:p w:rsidR="00FF00C0" w:rsidRPr="00C64AE1" w:rsidRDefault="00794891" w:rsidP="00F45B2C">
            <w:pPr>
              <w:jc w:val="center"/>
              <w:rPr>
                <w:rFonts w:ascii="楷体" w:eastAsia="楷体" w:hAnsi="楷体"/>
                <w:sz w:val="22"/>
              </w:rPr>
            </w:pPr>
            <w:r w:rsidRPr="00C64AE1">
              <w:rPr>
                <w:rFonts w:ascii="楷体" w:eastAsia="楷体" w:hAnsi="楷体" w:hint="eastAsia"/>
                <w:sz w:val="22"/>
              </w:rPr>
              <w:t>-6.43%</w:t>
            </w:r>
          </w:p>
        </w:tc>
        <w:tc>
          <w:tcPr>
            <w:tcW w:w="833" w:type="pct"/>
            <w:tcBorders>
              <w:top w:val="dotted" w:sz="4" w:space="0" w:color="auto"/>
              <w:left w:val="dotted" w:sz="4" w:space="0" w:color="auto"/>
              <w:bottom w:val="single" w:sz="12" w:space="0" w:color="C00000"/>
              <w:right w:val="dotted" w:sz="4" w:space="0" w:color="auto"/>
            </w:tcBorders>
          </w:tcPr>
          <w:p w:rsidR="00FF00C0" w:rsidRPr="00C64AE1" w:rsidRDefault="00794891" w:rsidP="00F45B2C">
            <w:pPr>
              <w:jc w:val="center"/>
              <w:rPr>
                <w:rFonts w:ascii="楷体" w:eastAsia="楷体" w:hAnsi="楷体"/>
                <w:sz w:val="22"/>
              </w:rPr>
            </w:pPr>
            <w:r w:rsidRPr="00C64AE1">
              <w:rPr>
                <w:rFonts w:ascii="楷体" w:eastAsia="楷体" w:hAnsi="楷体" w:hint="eastAsia"/>
                <w:sz w:val="22"/>
              </w:rPr>
              <w:t>-7.26%</w:t>
            </w:r>
          </w:p>
        </w:tc>
        <w:tc>
          <w:tcPr>
            <w:tcW w:w="834" w:type="pct"/>
            <w:tcBorders>
              <w:top w:val="dotted" w:sz="4" w:space="0" w:color="auto"/>
              <w:left w:val="dotted" w:sz="4" w:space="0" w:color="auto"/>
              <w:bottom w:val="single" w:sz="12" w:space="0" w:color="C00000"/>
              <w:right w:val="dotted" w:sz="4" w:space="0" w:color="auto"/>
            </w:tcBorders>
          </w:tcPr>
          <w:p w:rsidR="00FF00C0" w:rsidRPr="00C64AE1" w:rsidRDefault="00794891" w:rsidP="00F45B2C">
            <w:pPr>
              <w:jc w:val="center"/>
              <w:rPr>
                <w:rFonts w:ascii="楷体" w:eastAsia="楷体" w:hAnsi="楷体"/>
                <w:sz w:val="22"/>
              </w:rPr>
            </w:pPr>
            <w:r w:rsidRPr="00C64AE1">
              <w:rPr>
                <w:rFonts w:ascii="楷体" w:eastAsia="楷体" w:hAnsi="楷体" w:hint="eastAsia"/>
                <w:sz w:val="22"/>
              </w:rPr>
              <w:t>-17.21%</w:t>
            </w:r>
          </w:p>
        </w:tc>
      </w:tr>
    </w:tbl>
    <w:p w:rsidR="00FF00C0" w:rsidRPr="00C64AE1" w:rsidRDefault="00FF00C0" w:rsidP="007A4F02">
      <w:pPr>
        <w:pStyle w:val="af2"/>
        <w:spacing w:after="156"/>
        <w:ind w:leftChars="0" w:left="0" w:firstLineChars="150" w:firstLine="300"/>
        <w:rPr>
          <w:rFonts w:ascii="楷体" w:eastAsia="楷体" w:hAnsi="楷体"/>
          <w:sz w:val="20"/>
          <w:szCs w:val="20"/>
        </w:rPr>
      </w:pPr>
      <w:r w:rsidRPr="00C64AE1">
        <w:rPr>
          <w:rFonts w:ascii="楷体" w:eastAsia="楷体" w:hAnsi="楷体" w:cs="Arial" w:hint="eastAsia"/>
          <w:sz w:val="20"/>
          <w:szCs w:val="20"/>
        </w:rPr>
        <w:t>资料来源：Wind，中山证券研究所。</w:t>
      </w:r>
    </w:p>
    <w:p w:rsidR="00100B70" w:rsidRPr="00C64AE1" w:rsidRDefault="00794891"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市场业绩表明，相似片段1-3分别</w:t>
      </w:r>
      <w:r w:rsidR="009D559F" w:rsidRPr="00C64AE1">
        <w:rPr>
          <w:rFonts w:ascii="楷体" w:eastAsia="楷体" w:hAnsi="楷体" w:cs="Times New Roman" w:hint="eastAsia"/>
        </w:rPr>
        <w:t>对应</w:t>
      </w:r>
      <w:r w:rsidRPr="00C64AE1">
        <w:rPr>
          <w:rFonts w:ascii="楷体" w:eastAsia="楷体" w:hAnsi="楷体" w:cs="Times New Roman" w:hint="eastAsia"/>
        </w:rPr>
        <w:t>的波动特征为</w:t>
      </w:r>
      <w:r w:rsidR="00756869" w:rsidRPr="00C64AE1">
        <w:rPr>
          <w:rFonts w:ascii="楷体" w:eastAsia="楷体" w:hAnsi="楷体" w:cs="Times New Roman" w:hint="eastAsia"/>
          <w:b/>
        </w:rPr>
        <w:t>箱体震荡、震荡上行与震荡下行</w:t>
      </w:r>
      <w:r w:rsidR="00A5075B" w:rsidRPr="00C64AE1">
        <w:rPr>
          <w:rFonts w:ascii="楷体" w:eastAsia="楷体" w:hAnsi="楷体" w:cs="Times New Roman" w:hint="eastAsia"/>
        </w:rPr>
        <w:t>，分析不同相似时期未来某一段时间的涨跌幅，</w:t>
      </w:r>
      <w:r w:rsidR="007349C2" w:rsidRPr="00C64AE1">
        <w:rPr>
          <w:rFonts w:ascii="楷体" w:eastAsia="楷体" w:hAnsi="楷体" w:cs="Times New Roman" w:hint="eastAsia"/>
        </w:rPr>
        <w:t>为</w:t>
      </w:r>
      <w:r w:rsidR="00F8434D" w:rsidRPr="00C64AE1">
        <w:rPr>
          <w:rFonts w:ascii="楷体" w:eastAsia="楷体" w:hAnsi="楷体" w:cs="Times New Roman" w:hint="eastAsia"/>
        </w:rPr>
        <w:t>股票市场</w:t>
      </w:r>
      <w:r w:rsidR="00F67AD6" w:rsidRPr="00C64AE1">
        <w:rPr>
          <w:rFonts w:ascii="楷体" w:eastAsia="楷体" w:hAnsi="楷体" w:cs="Times New Roman" w:hint="eastAsia"/>
        </w:rPr>
        <w:t>主要指数</w:t>
      </w:r>
      <w:r w:rsidR="00F8434D" w:rsidRPr="00C64AE1">
        <w:rPr>
          <w:rFonts w:ascii="楷体" w:eastAsia="楷体" w:hAnsi="楷体" w:cs="Times New Roman" w:hint="eastAsia"/>
        </w:rPr>
        <w:t>未来可能</w:t>
      </w:r>
      <w:r w:rsidR="00F67AD6" w:rsidRPr="00C64AE1">
        <w:rPr>
          <w:rFonts w:ascii="楷体" w:eastAsia="楷体" w:hAnsi="楷体" w:cs="Times New Roman" w:hint="eastAsia"/>
        </w:rPr>
        <w:t>的波动区间</w:t>
      </w:r>
      <w:r w:rsidR="007A133A" w:rsidRPr="00C64AE1">
        <w:rPr>
          <w:rFonts w:ascii="楷体" w:eastAsia="楷体" w:hAnsi="楷体" w:cs="Times New Roman" w:hint="eastAsia"/>
        </w:rPr>
        <w:t>提供经验参考</w:t>
      </w:r>
      <w:r w:rsidR="00756869" w:rsidRPr="00C64AE1">
        <w:rPr>
          <w:rFonts w:ascii="楷体" w:eastAsia="楷体" w:hAnsi="楷体" w:cs="Times New Roman" w:hint="eastAsia"/>
        </w:rPr>
        <w:t>。</w:t>
      </w:r>
      <w:r w:rsidR="00F271E2" w:rsidRPr="00C64AE1">
        <w:rPr>
          <w:rFonts w:ascii="楷体" w:eastAsia="楷体" w:hAnsi="楷体" w:cs="Times New Roman" w:hint="eastAsia"/>
        </w:rPr>
        <w:t>需点明的是,考虑到Wind数据的非全面性与欠缺性，以及对冲指数中证500数据的时滞性，我们将着重分析相似片段</w:t>
      </w:r>
      <w:r w:rsidR="00A23627" w:rsidRPr="00C64AE1">
        <w:rPr>
          <w:rFonts w:ascii="楷体" w:eastAsia="楷体" w:hAnsi="楷体" w:cs="Times New Roman" w:hint="eastAsia"/>
        </w:rPr>
        <w:t>1</w:t>
      </w:r>
      <w:r w:rsidR="00F271E2" w:rsidRPr="00C64AE1">
        <w:rPr>
          <w:rFonts w:ascii="楷体" w:eastAsia="楷体" w:hAnsi="楷体" w:cs="Times New Roman" w:hint="eastAsia"/>
        </w:rPr>
        <w:t>未来1至6个月内，价格走势、量价规律以及因子业绩表现，</w:t>
      </w:r>
      <w:r w:rsidR="00B43FFC" w:rsidRPr="00C64AE1">
        <w:rPr>
          <w:rFonts w:ascii="楷体" w:eastAsia="楷体" w:hAnsi="楷体" w:cs="Times New Roman" w:hint="eastAsia"/>
        </w:rPr>
        <w:t>在因子特征表现方面，报告仅能分析2011-04-18至2012-01-05期间以及其未来1-6个月内的因子业绩特征，通过经验借鉴，</w:t>
      </w:r>
      <w:r w:rsidR="00F271E2" w:rsidRPr="00C64AE1">
        <w:rPr>
          <w:rFonts w:ascii="楷体" w:eastAsia="楷体" w:hAnsi="楷体" w:cs="Times New Roman" w:hint="eastAsia"/>
        </w:rPr>
        <w:t>以</w:t>
      </w:r>
      <w:r w:rsidR="00B43FFC" w:rsidRPr="00C64AE1">
        <w:rPr>
          <w:rFonts w:ascii="楷体" w:eastAsia="楷体" w:hAnsi="楷体" w:cs="Times New Roman" w:hint="eastAsia"/>
        </w:rPr>
        <w:t>期</w:t>
      </w:r>
      <w:r w:rsidR="00F271E2" w:rsidRPr="00C64AE1">
        <w:rPr>
          <w:rFonts w:ascii="楷体" w:eastAsia="楷体" w:hAnsi="楷体" w:cs="Times New Roman" w:hint="eastAsia"/>
        </w:rPr>
        <w:t>窥析2019年</w:t>
      </w:r>
      <w:r w:rsidR="00B43FFC" w:rsidRPr="00C64AE1">
        <w:rPr>
          <w:rFonts w:ascii="楷体" w:eastAsia="楷体" w:hAnsi="楷体" w:cs="Times New Roman" w:hint="eastAsia"/>
        </w:rPr>
        <w:t>上半年的市场</w:t>
      </w:r>
      <w:r w:rsidR="00235153" w:rsidRPr="00C64AE1">
        <w:rPr>
          <w:rFonts w:ascii="楷体" w:eastAsia="楷体" w:hAnsi="楷体" w:cs="Times New Roman" w:hint="eastAsia"/>
        </w:rPr>
        <w:t>趋势</w:t>
      </w:r>
      <w:r w:rsidR="00F271E2" w:rsidRPr="00C64AE1">
        <w:rPr>
          <w:rFonts w:ascii="楷体" w:eastAsia="楷体" w:hAnsi="楷体" w:cs="Times New Roman" w:hint="eastAsia"/>
        </w:rPr>
        <w:t>。</w:t>
      </w:r>
    </w:p>
    <w:p w:rsidR="007349C2" w:rsidRPr="00C64AE1" w:rsidRDefault="007349C2" w:rsidP="00446770">
      <w:pPr>
        <w:keepNext/>
        <w:widowControl/>
        <w:numPr>
          <w:ilvl w:val="1"/>
          <w:numId w:val="0"/>
        </w:numPr>
        <w:spacing w:beforeLines="50" w:afterLines="50" w:line="360" w:lineRule="auto"/>
        <w:ind w:leftChars="1200" w:left="3026" w:hangingChars="180" w:hanging="506"/>
        <w:outlineLvl w:val="1"/>
        <w:rPr>
          <w:rFonts w:ascii="楷体" w:eastAsia="楷体" w:hAnsi="楷体" w:cs="Times New Roman"/>
          <w:b/>
          <w:sz w:val="28"/>
        </w:rPr>
      </w:pPr>
      <w:bookmarkStart w:id="33" w:name="_Toc531856911"/>
      <w:r w:rsidRPr="00C64AE1">
        <w:rPr>
          <w:rFonts w:ascii="楷体" w:eastAsia="楷体" w:hAnsi="楷体" w:cs="Times New Roman" w:hint="eastAsia"/>
          <w:b/>
          <w:sz w:val="28"/>
        </w:rPr>
        <w:lastRenderedPageBreak/>
        <w:t xml:space="preserve">2.2 </w:t>
      </w:r>
      <w:r w:rsidR="00B81BF5" w:rsidRPr="00C64AE1">
        <w:rPr>
          <w:rFonts w:ascii="楷体" w:eastAsia="楷体" w:hAnsi="楷体" w:cs="Times New Roman" w:hint="eastAsia"/>
          <w:b/>
          <w:sz w:val="28"/>
        </w:rPr>
        <w:t>经</w:t>
      </w:r>
      <w:r w:rsidR="00924278" w:rsidRPr="00C64AE1">
        <w:rPr>
          <w:rFonts w:ascii="楷体" w:eastAsia="楷体" w:hAnsi="楷体" w:cs="Times New Roman" w:hint="eastAsia"/>
          <w:b/>
          <w:sz w:val="28"/>
        </w:rPr>
        <w:t>典</w:t>
      </w:r>
      <w:r w:rsidR="00B81BF5" w:rsidRPr="00C64AE1">
        <w:rPr>
          <w:rFonts w:ascii="楷体" w:eastAsia="楷体" w:hAnsi="楷体" w:cs="Times New Roman" w:hint="eastAsia"/>
          <w:b/>
          <w:sz w:val="28"/>
        </w:rPr>
        <w:t>片段未来时间内的价量规律分析</w:t>
      </w:r>
      <w:bookmarkEnd w:id="33"/>
    </w:p>
    <w:p w:rsidR="009074E0" w:rsidRPr="00C64AE1" w:rsidRDefault="00A23627"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首先，</w:t>
      </w:r>
      <w:r w:rsidR="007E784D" w:rsidRPr="00C64AE1">
        <w:rPr>
          <w:rFonts w:ascii="楷体" w:eastAsia="楷体" w:hAnsi="楷体" w:cs="Times New Roman" w:hint="eastAsia"/>
        </w:rPr>
        <w:t>价格涨跌幅方面，</w:t>
      </w:r>
      <w:r w:rsidR="00F67AD6" w:rsidRPr="00C64AE1">
        <w:rPr>
          <w:rFonts w:ascii="楷体" w:eastAsia="楷体" w:hAnsi="楷体" w:cs="Times New Roman" w:hint="eastAsia"/>
        </w:rPr>
        <w:t>相似片段1-3表明，不同时间段，</w:t>
      </w:r>
      <w:r w:rsidR="00235153" w:rsidRPr="00C64AE1">
        <w:rPr>
          <w:rFonts w:ascii="楷体" w:eastAsia="楷体" w:hAnsi="楷体" w:cs="Times New Roman" w:hint="eastAsia"/>
        </w:rPr>
        <w:t>上证综指</w:t>
      </w:r>
      <w:r w:rsidR="00F67AD6" w:rsidRPr="00C64AE1">
        <w:rPr>
          <w:rFonts w:ascii="楷体" w:eastAsia="楷体" w:hAnsi="楷体" w:cs="Times New Roman" w:hint="eastAsia"/>
        </w:rPr>
        <w:t>未来1-3个月的涨跌幅约为：±7%，</w:t>
      </w:r>
      <w:r w:rsidR="00235153" w:rsidRPr="00C64AE1">
        <w:rPr>
          <w:rFonts w:ascii="楷体" w:eastAsia="楷体" w:hAnsi="楷体" w:cs="Times New Roman" w:hint="eastAsia"/>
        </w:rPr>
        <w:t>未来6个月的上下浮动区间</w:t>
      </w:r>
      <w:r w:rsidR="00F67AD6" w:rsidRPr="00C64AE1">
        <w:rPr>
          <w:rFonts w:ascii="楷体" w:eastAsia="楷体" w:hAnsi="楷体" w:cs="Times New Roman" w:hint="eastAsia"/>
        </w:rPr>
        <w:t>约</w:t>
      </w:r>
      <w:r w:rsidR="00235153" w:rsidRPr="00C64AE1">
        <w:rPr>
          <w:rFonts w:ascii="楷体" w:eastAsia="楷体" w:hAnsi="楷体" w:cs="Times New Roman" w:hint="eastAsia"/>
        </w:rPr>
        <w:t>为：</w:t>
      </w:r>
      <w:r w:rsidR="00F67AD6" w:rsidRPr="00C64AE1">
        <w:rPr>
          <w:rFonts w:ascii="楷体" w:eastAsia="楷体" w:hAnsi="楷体" w:cs="Times New Roman" w:hint="eastAsia"/>
        </w:rPr>
        <w:t>±18%。</w:t>
      </w:r>
      <w:r w:rsidR="009074E0" w:rsidRPr="00C64AE1">
        <w:rPr>
          <w:rFonts w:ascii="楷体" w:eastAsia="楷体" w:hAnsi="楷体" w:cs="Times New Roman" w:hint="eastAsia"/>
        </w:rPr>
        <w:t>若</w:t>
      </w:r>
      <w:r w:rsidR="00235153" w:rsidRPr="00C64AE1">
        <w:rPr>
          <w:rFonts w:ascii="楷体" w:eastAsia="楷体" w:hAnsi="楷体" w:cs="Times New Roman" w:hint="eastAsia"/>
        </w:rPr>
        <w:t>按</w:t>
      </w:r>
      <w:r w:rsidR="00CF77C4" w:rsidRPr="00C64AE1">
        <w:rPr>
          <w:rFonts w:ascii="楷体" w:eastAsia="楷体" w:hAnsi="楷体" w:cs="Times New Roman" w:hint="eastAsia"/>
        </w:rPr>
        <w:t>2018年10月22号均值</w:t>
      </w:r>
      <w:r w:rsidR="00F67AD6" w:rsidRPr="00C64AE1">
        <w:rPr>
          <w:rFonts w:ascii="楷体" w:eastAsia="楷体" w:hAnsi="楷体" w:cs="Times New Roman" w:hint="eastAsia"/>
        </w:rPr>
        <w:t>约</w:t>
      </w:r>
      <w:r w:rsidR="00235153" w:rsidRPr="00C64AE1">
        <w:rPr>
          <w:rFonts w:ascii="楷体" w:eastAsia="楷体" w:hAnsi="楷体" w:cs="Times New Roman" w:hint="eastAsia"/>
        </w:rPr>
        <w:t>2</w:t>
      </w:r>
      <w:r w:rsidR="000E5AB6" w:rsidRPr="00C64AE1">
        <w:rPr>
          <w:rFonts w:ascii="楷体" w:eastAsia="楷体" w:hAnsi="楷体" w:cs="Times New Roman" w:hint="eastAsia"/>
        </w:rPr>
        <w:t>600</w:t>
      </w:r>
      <w:r w:rsidR="00235153" w:rsidRPr="00C64AE1">
        <w:rPr>
          <w:rFonts w:ascii="楷体" w:eastAsia="楷体" w:hAnsi="楷体" w:cs="Times New Roman" w:hint="eastAsia"/>
        </w:rPr>
        <w:t>点的点位算，</w:t>
      </w:r>
      <w:r w:rsidR="00F67AD6" w:rsidRPr="00C64AE1">
        <w:rPr>
          <w:rFonts w:ascii="楷体" w:eastAsia="楷体" w:hAnsi="楷体" w:cs="Times New Roman" w:hint="eastAsia"/>
        </w:rPr>
        <w:t>±7%的区间涨跌幅对应2019年1季度上证综指的浮动区间的上限约为：2800，下限约为：2400。±18%</w:t>
      </w:r>
      <w:r w:rsidR="00480A52" w:rsidRPr="00C64AE1">
        <w:rPr>
          <w:rFonts w:ascii="楷体" w:eastAsia="楷体" w:hAnsi="楷体" w:cs="Times New Roman" w:hint="eastAsia"/>
        </w:rPr>
        <w:t>的区间涨跌幅</w:t>
      </w:r>
      <w:r w:rsidR="00235153" w:rsidRPr="00C64AE1">
        <w:rPr>
          <w:rFonts w:ascii="楷体" w:eastAsia="楷体" w:hAnsi="楷体" w:cs="Times New Roman" w:hint="eastAsia"/>
        </w:rPr>
        <w:t>对</w:t>
      </w:r>
      <w:r w:rsidR="00F67AD6" w:rsidRPr="00C64AE1">
        <w:rPr>
          <w:rFonts w:ascii="楷体" w:eastAsia="楷体" w:hAnsi="楷体" w:cs="Times New Roman" w:hint="eastAsia"/>
        </w:rPr>
        <w:t>应2019年1至2季度</w:t>
      </w:r>
      <w:r w:rsidR="00235153" w:rsidRPr="00C64AE1">
        <w:rPr>
          <w:rFonts w:ascii="楷体" w:eastAsia="楷体" w:hAnsi="楷体" w:cs="Times New Roman" w:hint="eastAsia"/>
        </w:rPr>
        <w:t>上证综指上限：3100点、下限2</w:t>
      </w:r>
      <w:r w:rsidR="00480A52" w:rsidRPr="00C64AE1">
        <w:rPr>
          <w:rFonts w:ascii="楷体" w:eastAsia="楷体" w:hAnsi="楷体" w:cs="Times New Roman" w:hint="eastAsia"/>
        </w:rPr>
        <w:t>1</w:t>
      </w:r>
      <w:r w:rsidR="00235153" w:rsidRPr="00C64AE1">
        <w:rPr>
          <w:rFonts w:ascii="楷体" w:eastAsia="楷体" w:hAnsi="楷体" w:cs="Times New Roman" w:hint="eastAsia"/>
        </w:rPr>
        <w:t>00点</w:t>
      </w:r>
      <w:r w:rsidR="00480A52" w:rsidRPr="00C64AE1">
        <w:rPr>
          <w:rFonts w:ascii="楷体" w:eastAsia="楷体" w:hAnsi="楷体" w:cs="Times New Roman" w:hint="eastAsia"/>
        </w:rPr>
        <w:t>。</w:t>
      </w:r>
    </w:p>
    <w:p w:rsidR="007E784D" w:rsidRPr="00C64AE1" w:rsidRDefault="00A23627"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其次，</w:t>
      </w:r>
      <w:r w:rsidR="00D944F2" w:rsidRPr="00C64AE1">
        <w:rPr>
          <w:rFonts w:ascii="楷体" w:eastAsia="楷体" w:hAnsi="楷体" w:cs="Times New Roman" w:hint="eastAsia"/>
        </w:rPr>
        <w:t>价</w:t>
      </w:r>
      <w:r w:rsidR="007E784D" w:rsidRPr="00C64AE1">
        <w:rPr>
          <w:rFonts w:ascii="楷体" w:eastAsia="楷体" w:hAnsi="楷体" w:cs="Times New Roman" w:hint="eastAsia"/>
        </w:rPr>
        <w:t>量方面，相似片段</w:t>
      </w:r>
      <w:r w:rsidR="00D944F2" w:rsidRPr="00C64AE1">
        <w:rPr>
          <w:rFonts w:ascii="楷体" w:eastAsia="楷体" w:hAnsi="楷体" w:cs="Times New Roman" w:hint="eastAsia"/>
        </w:rPr>
        <w:t>1在</w:t>
      </w:r>
      <w:r w:rsidR="007E784D" w:rsidRPr="00C64AE1">
        <w:rPr>
          <w:rFonts w:ascii="楷体" w:eastAsia="楷体" w:hAnsi="楷体" w:cs="Times New Roman" w:hint="eastAsia"/>
        </w:rPr>
        <w:t>未</w:t>
      </w:r>
      <w:r w:rsidR="00D944F2" w:rsidRPr="00C64AE1">
        <w:rPr>
          <w:rFonts w:ascii="楷体" w:eastAsia="楷体" w:hAnsi="楷体" w:cs="Times New Roman" w:hint="eastAsia"/>
        </w:rPr>
        <w:t>来</w:t>
      </w:r>
      <w:r w:rsidR="007E784D" w:rsidRPr="00C64AE1">
        <w:rPr>
          <w:rFonts w:ascii="楷体" w:eastAsia="楷体" w:hAnsi="楷体" w:cs="Times New Roman" w:hint="eastAsia"/>
        </w:rPr>
        <w:t>1个月</w:t>
      </w:r>
      <w:r w:rsidR="00D944F2" w:rsidRPr="00C64AE1">
        <w:rPr>
          <w:rFonts w:ascii="楷体" w:eastAsia="楷体" w:hAnsi="楷体" w:cs="Times New Roman" w:hint="eastAsia"/>
        </w:rPr>
        <w:t>内</w:t>
      </w:r>
      <w:r w:rsidR="007E784D" w:rsidRPr="00C64AE1">
        <w:rPr>
          <w:rFonts w:ascii="楷体" w:eastAsia="楷体" w:hAnsi="楷体" w:cs="Times New Roman" w:hint="eastAsia"/>
        </w:rPr>
        <w:t>出现放量上涨，未来3个月先放量，再缩量，价格先涨后跌，未来6个月内先后交替放量上涨与缩量下跌</w:t>
      </w:r>
      <w:r w:rsidR="00D944F2" w:rsidRPr="00C64AE1">
        <w:rPr>
          <w:rFonts w:ascii="楷体" w:eastAsia="楷体" w:hAnsi="楷体" w:cs="Times New Roman" w:hint="eastAsia"/>
        </w:rPr>
        <w:t>，指数价格整体维持箱体震荡，相对期初而言，6个月末的涨幅仅约为2.46%。</w:t>
      </w:r>
    </w:p>
    <w:p w:rsidR="00D944F2" w:rsidRPr="00C64AE1" w:rsidRDefault="00D944F2"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相似片段2在未来1个月内出现放量上涨，未来3</w:t>
      </w:r>
      <w:r w:rsidR="0042727E" w:rsidRPr="00C64AE1">
        <w:rPr>
          <w:rFonts w:ascii="楷体" w:eastAsia="楷体" w:hAnsi="楷体" w:cs="Times New Roman" w:hint="eastAsia"/>
        </w:rPr>
        <w:t>个内先放量上涨、</w:t>
      </w:r>
      <w:r w:rsidRPr="00C64AE1">
        <w:rPr>
          <w:rFonts w:ascii="楷体" w:eastAsia="楷体" w:hAnsi="楷体" w:cs="Times New Roman" w:hint="eastAsia"/>
        </w:rPr>
        <w:t>缩量上涨</w:t>
      </w:r>
      <w:r w:rsidR="0042727E" w:rsidRPr="00C64AE1">
        <w:rPr>
          <w:rFonts w:ascii="楷体" w:eastAsia="楷体" w:hAnsi="楷体" w:cs="Times New Roman" w:hint="eastAsia"/>
        </w:rPr>
        <w:t>、缩量盘整，</w:t>
      </w:r>
      <w:r w:rsidRPr="00C64AE1">
        <w:rPr>
          <w:rFonts w:ascii="楷体" w:eastAsia="楷体" w:hAnsi="楷体" w:cs="Times New Roman" w:hint="eastAsia"/>
        </w:rPr>
        <w:t>整体维持上涨态势。未来6个月内，放量上涨、缩量上涨、缩量下跌与放量上涨4个阶段，价格指数上涨约19.23%。</w:t>
      </w:r>
    </w:p>
    <w:p w:rsidR="007E784D" w:rsidRPr="00C64AE1" w:rsidRDefault="00D944F2"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相似片段3在未来1个月出现</w:t>
      </w:r>
      <w:r w:rsidR="0042727E" w:rsidRPr="00C64AE1">
        <w:rPr>
          <w:rFonts w:ascii="楷体" w:eastAsia="楷体" w:hAnsi="楷体" w:cs="Times New Roman" w:hint="eastAsia"/>
        </w:rPr>
        <w:t>缩</w:t>
      </w:r>
      <w:r w:rsidRPr="00C64AE1">
        <w:rPr>
          <w:rFonts w:ascii="楷体" w:eastAsia="楷体" w:hAnsi="楷体" w:cs="Times New Roman" w:hint="eastAsia"/>
        </w:rPr>
        <w:t>量</w:t>
      </w:r>
      <w:r w:rsidR="00B44E68" w:rsidRPr="00C64AE1">
        <w:rPr>
          <w:rFonts w:ascii="楷体" w:eastAsia="楷体" w:hAnsi="楷体" w:cs="Times New Roman" w:hint="eastAsia"/>
        </w:rPr>
        <w:t>下跌，幅度约为-6.43%</w:t>
      </w:r>
      <w:r w:rsidRPr="00C64AE1">
        <w:rPr>
          <w:rFonts w:ascii="楷体" w:eastAsia="楷体" w:hAnsi="楷体" w:cs="Times New Roman" w:hint="eastAsia"/>
        </w:rPr>
        <w:t>、未来3-6个月内出现</w:t>
      </w:r>
      <w:r w:rsidR="0042727E" w:rsidRPr="00C64AE1">
        <w:rPr>
          <w:rFonts w:ascii="楷体" w:eastAsia="楷体" w:hAnsi="楷体" w:cs="Times New Roman" w:hint="eastAsia"/>
        </w:rPr>
        <w:t>交替出现</w:t>
      </w:r>
      <w:r w:rsidRPr="00C64AE1">
        <w:rPr>
          <w:rFonts w:ascii="楷体" w:eastAsia="楷体" w:hAnsi="楷体" w:cs="Times New Roman" w:hint="eastAsia"/>
        </w:rPr>
        <w:t>缩量下跌</w:t>
      </w:r>
      <w:r w:rsidR="0042727E" w:rsidRPr="00C64AE1">
        <w:rPr>
          <w:rFonts w:ascii="楷体" w:eastAsia="楷体" w:hAnsi="楷体" w:cs="Times New Roman" w:hint="eastAsia"/>
        </w:rPr>
        <w:t>与上量不涨等现象</w:t>
      </w:r>
      <w:r w:rsidRPr="00C64AE1">
        <w:rPr>
          <w:rFonts w:ascii="楷体" w:eastAsia="楷体" w:hAnsi="楷体" w:cs="Times New Roman" w:hint="eastAsia"/>
        </w:rPr>
        <w:t>，未来6个月内价格指数下跌幅度约为17.21%。</w:t>
      </w:r>
    </w:p>
    <w:tbl>
      <w:tblPr>
        <w:tblW w:w="10676" w:type="dxa"/>
        <w:tblInd w:w="284" w:type="dxa"/>
        <w:tblBorders>
          <w:insideH w:val="double" w:sz="4" w:space="0" w:color="333399"/>
          <w:insideV w:val="double" w:sz="4" w:space="0" w:color="333399"/>
        </w:tblBorders>
        <w:tblLayout w:type="fixed"/>
        <w:tblCellMar>
          <w:left w:w="0" w:type="dxa"/>
          <w:right w:w="0" w:type="dxa"/>
        </w:tblCellMar>
        <w:tblLook w:val="04A0"/>
      </w:tblPr>
      <w:tblGrid>
        <w:gridCol w:w="427"/>
        <w:gridCol w:w="10249"/>
      </w:tblGrid>
      <w:tr w:rsidR="002C3031" w:rsidRPr="00C64AE1" w:rsidTr="002C3031">
        <w:trPr>
          <w:gridBefore w:val="1"/>
          <w:wBefore w:w="427" w:type="dxa"/>
          <w:trHeight w:val="334"/>
        </w:trPr>
        <w:tc>
          <w:tcPr>
            <w:tcW w:w="10249" w:type="dxa"/>
            <w:tcBorders>
              <w:top w:val="nil"/>
              <w:bottom w:val="single" w:sz="12" w:space="0" w:color="CC0000"/>
            </w:tcBorders>
            <w:shd w:val="clear" w:color="auto" w:fill="auto"/>
            <w:vAlign w:val="bottom"/>
          </w:tcPr>
          <w:p w:rsidR="002C3031" w:rsidRPr="00C64AE1" w:rsidRDefault="002C3031" w:rsidP="002C3031">
            <w:pPr>
              <w:keepNext/>
              <w:keepLines/>
              <w:rPr>
                <w:rFonts w:ascii="楷体" w:eastAsia="楷体" w:hAnsi="楷体" w:cs="Times New Roman"/>
                <w:sz w:val="20"/>
                <w:szCs w:val="20"/>
              </w:rPr>
            </w:pPr>
            <w:r w:rsidRPr="00C64AE1">
              <w:rPr>
                <w:rFonts w:ascii="楷体" w:eastAsia="楷体" w:hAnsi="楷体" w:cs="Times New Roman"/>
                <w:sz w:val="20"/>
                <w:szCs w:val="20"/>
              </w:rPr>
              <w:t>图</w:t>
            </w:r>
            <w:r w:rsidRPr="00C64AE1">
              <w:rPr>
                <w:rFonts w:ascii="楷体" w:eastAsia="楷体" w:hAnsi="楷体" w:cs="Times New Roman" w:hint="eastAsia"/>
                <w:sz w:val="20"/>
                <w:szCs w:val="20"/>
              </w:rPr>
              <w:t>21（历史相似片段未来1-6个月的价量走势图）</w:t>
            </w:r>
          </w:p>
        </w:tc>
      </w:tr>
      <w:tr w:rsidR="002C3031" w:rsidRPr="00C64AE1" w:rsidTr="002C3031">
        <w:tblPrEx>
          <w:tblCellMar>
            <w:left w:w="108" w:type="dxa"/>
            <w:right w:w="108" w:type="dxa"/>
          </w:tblCellMar>
        </w:tblPrEx>
        <w:trPr>
          <w:trHeight w:hRule="exact" w:val="4585"/>
        </w:trPr>
        <w:tc>
          <w:tcPr>
            <w:tcW w:w="10676" w:type="dxa"/>
            <w:gridSpan w:val="2"/>
            <w:tcBorders>
              <w:top w:val="single" w:sz="12" w:space="0" w:color="CC0000"/>
              <w:bottom w:val="single" w:sz="12" w:space="0" w:color="CC0000"/>
            </w:tcBorders>
            <w:shd w:val="clear" w:color="auto" w:fill="auto"/>
          </w:tcPr>
          <w:p w:rsidR="002C3031" w:rsidRPr="00C64AE1" w:rsidRDefault="00D9504B" w:rsidP="00D9504B">
            <w:pPr>
              <w:keepNext/>
              <w:keepLines/>
              <w:ind w:leftChars="-793" w:hangingChars="793" w:hanging="1665"/>
              <w:jc w:val="right"/>
              <w:rPr>
                <w:rFonts w:ascii="楷体" w:eastAsia="楷体" w:hAnsi="楷体" w:cs="Times New Roman"/>
                <w:szCs w:val="21"/>
              </w:rPr>
            </w:pPr>
            <w:r w:rsidRPr="00C64AE1">
              <w:rPr>
                <w:rFonts w:ascii="楷体" w:eastAsia="楷体" w:hAnsi="楷体" w:cs="Times New Roman"/>
                <w:noProof/>
                <w:szCs w:val="21"/>
              </w:rPr>
              <w:drawing>
                <wp:inline distT="0" distB="0" distL="0" distR="0">
                  <wp:extent cx="6638925" cy="2911142"/>
                  <wp:effectExtent l="19050" t="0" r="9525" b="0"/>
                  <wp:docPr id="22" name="图片 21" descr="微信图片_20181129135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29135425.png"/>
                          <pic:cNvPicPr/>
                        </pic:nvPicPr>
                        <pic:blipFill>
                          <a:blip r:embed="rId38" cstate="print"/>
                          <a:stretch>
                            <a:fillRect/>
                          </a:stretch>
                        </pic:blipFill>
                        <pic:spPr>
                          <a:xfrm>
                            <a:off x="0" y="0"/>
                            <a:ext cx="6639685" cy="2911475"/>
                          </a:xfrm>
                          <a:prstGeom prst="rect">
                            <a:avLst/>
                          </a:prstGeom>
                        </pic:spPr>
                      </pic:pic>
                    </a:graphicData>
                  </a:graphic>
                </wp:inline>
              </w:drawing>
            </w:r>
          </w:p>
        </w:tc>
      </w:tr>
      <w:tr w:rsidR="002C3031" w:rsidRPr="00C64AE1" w:rsidTr="002C3031">
        <w:trPr>
          <w:gridBefore w:val="1"/>
          <w:wBefore w:w="427" w:type="dxa"/>
          <w:trHeight w:val="49"/>
        </w:trPr>
        <w:tc>
          <w:tcPr>
            <w:tcW w:w="10249" w:type="dxa"/>
            <w:tcBorders>
              <w:top w:val="single" w:sz="12" w:space="0" w:color="CC0000"/>
              <w:bottom w:val="nil"/>
            </w:tcBorders>
            <w:shd w:val="clear" w:color="auto" w:fill="auto"/>
            <w:vAlign w:val="bottom"/>
          </w:tcPr>
          <w:p w:rsidR="002C3031" w:rsidRPr="00C64AE1" w:rsidRDefault="002C3031" w:rsidP="00AA08D4">
            <w:pPr>
              <w:keepNext/>
              <w:keepLines/>
              <w:rPr>
                <w:rFonts w:ascii="楷体" w:eastAsia="楷体" w:hAnsi="楷体" w:cs="Times New Roman"/>
                <w:sz w:val="20"/>
                <w:szCs w:val="20"/>
              </w:rPr>
            </w:pPr>
            <w:r w:rsidRPr="00C64AE1">
              <w:rPr>
                <w:rFonts w:ascii="楷体" w:eastAsia="楷体" w:hAnsi="楷体" w:cs="Times New Roman" w:hint="eastAsia"/>
                <w:sz w:val="20"/>
                <w:szCs w:val="20"/>
              </w:rPr>
              <w:t>资料来源：中山证券研究所</w:t>
            </w:r>
            <w:r w:rsidRPr="00C64AE1">
              <w:rPr>
                <w:rFonts w:ascii="楷体" w:eastAsia="楷体" w:hAnsi="楷体" w:cs="Times New Roman"/>
                <w:sz w:val="20"/>
                <w:szCs w:val="20"/>
              </w:rPr>
              <w:t xml:space="preserve"> </w:t>
            </w:r>
          </w:p>
        </w:tc>
      </w:tr>
    </w:tbl>
    <w:p w:rsidR="00692F22" w:rsidRPr="00C64AE1" w:rsidRDefault="006170A7"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在去杠杆向稳杠杆、政策市已见底背景下，</w:t>
      </w:r>
      <w:r w:rsidR="009074E0" w:rsidRPr="00C64AE1">
        <w:rPr>
          <w:rFonts w:ascii="楷体" w:eastAsia="楷体" w:hAnsi="楷体" w:cs="Times New Roman" w:hint="eastAsia"/>
        </w:rPr>
        <w:t>中美贸易摩擦等外部冲击及其预期</w:t>
      </w:r>
      <w:r w:rsidR="0026340E" w:rsidRPr="00C64AE1">
        <w:rPr>
          <w:rFonts w:ascii="楷体" w:eastAsia="楷体" w:hAnsi="楷体" w:cs="Times New Roman" w:hint="eastAsia"/>
        </w:rPr>
        <w:t>对沪深两市市场信心的影响相对显著。在价量方面，价格走势与相似段1-3虽存0.8444以上的相关性，但在量方面明显存在不同，这主要体现在：相似片段1-3长期下跌后存在小幅度的放量反弹，这与</w:t>
      </w:r>
      <w:r w:rsidR="00B44E68" w:rsidRPr="00C64AE1">
        <w:rPr>
          <w:rFonts w:ascii="楷体" w:eastAsia="楷体" w:hAnsi="楷体" w:cs="Times New Roman" w:hint="eastAsia"/>
        </w:rPr>
        <w:t>目前上证综指缩量下跌的状况</w:t>
      </w:r>
      <w:r w:rsidR="0026340E" w:rsidRPr="00C64AE1">
        <w:rPr>
          <w:rFonts w:ascii="楷体" w:eastAsia="楷体" w:hAnsi="楷体" w:cs="Times New Roman" w:hint="eastAsia"/>
        </w:rPr>
        <w:t>存在反差。</w:t>
      </w:r>
      <w:r w:rsidR="00511147" w:rsidRPr="00C64AE1">
        <w:rPr>
          <w:rFonts w:ascii="楷体" w:eastAsia="楷体" w:hAnsi="楷体" w:cs="Times New Roman" w:hint="eastAsia"/>
        </w:rPr>
        <w:t>报告</w:t>
      </w:r>
      <w:r w:rsidR="00C44093" w:rsidRPr="00C64AE1">
        <w:rPr>
          <w:rFonts w:ascii="楷体" w:eastAsia="楷体" w:hAnsi="楷体" w:cs="Times New Roman" w:hint="eastAsia"/>
        </w:rPr>
        <w:t>对</w:t>
      </w:r>
      <w:r w:rsidR="00511147" w:rsidRPr="00C64AE1">
        <w:rPr>
          <w:rFonts w:ascii="楷体" w:eastAsia="楷体" w:hAnsi="楷体" w:cs="Times New Roman" w:hint="eastAsia"/>
        </w:rPr>
        <w:t>上证综指未来</w:t>
      </w:r>
      <w:r w:rsidR="00B44E68" w:rsidRPr="00C64AE1">
        <w:rPr>
          <w:rFonts w:ascii="楷体" w:eastAsia="楷体" w:hAnsi="楷体" w:cs="Times New Roman" w:hint="eastAsia"/>
        </w:rPr>
        <w:t>趋势的</w:t>
      </w:r>
      <w:r w:rsidR="00C44093" w:rsidRPr="00C64AE1">
        <w:rPr>
          <w:rFonts w:ascii="楷体" w:eastAsia="楷体" w:hAnsi="楷体" w:cs="Times New Roman" w:hint="eastAsia"/>
        </w:rPr>
        <w:t>判断</w:t>
      </w:r>
      <w:r w:rsidR="00B44E68" w:rsidRPr="00C64AE1">
        <w:rPr>
          <w:rFonts w:ascii="楷体" w:eastAsia="楷体" w:hAnsi="楷体" w:cs="Times New Roman" w:hint="eastAsia"/>
        </w:rPr>
        <w:t>相似于片段1，但</w:t>
      </w:r>
      <w:r w:rsidR="007D3DFD" w:rsidRPr="00C64AE1">
        <w:rPr>
          <w:rFonts w:ascii="楷体" w:eastAsia="楷体" w:hAnsi="楷体" w:cs="Times New Roman" w:hint="eastAsia"/>
        </w:rPr>
        <w:t>价量</w:t>
      </w:r>
      <w:r w:rsidR="00B44E68" w:rsidRPr="00C64AE1">
        <w:rPr>
          <w:rFonts w:ascii="楷体" w:eastAsia="楷体" w:hAnsi="楷体" w:cs="Times New Roman" w:hint="eastAsia"/>
        </w:rPr>
        <w:t>走势可能与相似片段1刚好相反，即先缩量下跌，再放量上涨或稳量反弹，整体区间范围</w:t>
      </w:r>
      <w:r w:rsidR="002C36CC" w:rsidRPr="00C64AE1">
        <w:rPr>
          <w:rFonts w:ascii="楷体" w:eastAsia="楷体" w:hAnsi="楷体" w:cs="Times New Roman" w:hint="eastAsia"/>
        </w:rPr>
        <w:t>2400至2800点内，</w:t>
      </w:r>
      <w:r w:rsidR="00B44E68" w:rsidRPr="00C64AE1">
        <w:rPr>
          <w:rFonts w:ascii="楷体" w:eastAsia="楷体" w:hAnsi="楷体" w:cs="Times New Roman" w:hint="eastAsia"/>
        </w:rPr>
        <w:t>维持箱体震荡</w:t>
      </w:r>
      <w:r w:rsidR="002C36CC" w:rsidRPr="00C64AE1">
        <w:rPr>
          <w:rFonts w:ascii="楷体" w:eastAsia="楷体" w:hAnsi="楷体" w:cs="Times New Roman" w:hint="eastAsia"/>
        </w:rPr>
        <w:t>或</w:t>
      </w:r>
      <w:r w:rsidR="00B44E68" w:rsidRPr="00C64AE1">
        <w:rPr>
          <w:rFonts w:ascii="楷体" w:eastAsia="楷体" w:hAnsi="楷体" w:cs="Times New Roman" w:hint="eastAsia"/>
        </w:rPr>
        <w:t>偏空的格局。</w:t>
      </w:r>
    </w:p>
    <w:p w:rsidR="0026340E" w:rsidRPr="00C64AE1" w:rsidRDefault="00692F22"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lastRenderedPageBreak/>
        <w:t>需点醒的是，股指缩量下跌后，反弹能否有或反弹的力度有多大，取决于</w:t>
      </w:r>
      <w:r w:rsidR="00C44093" w:rsidRPr="00C64AE1">
        <w:rPr>
          <w:rFonts w:ascii="楷体" w:eastAsia="楷体" w:hAnsi="楷体" w:cs="Times New Roman" w:hint="eastAsia"/>
        </w:rPr>
        <w:t>三</w:t>
      </w:r>
      <w:r w:rsidRPr="00C64AE1">
        <w:rPr>
          <w:rFonts w:ascii="楷体" w:eastAsia="楷体" w:hAnsi="楷体" w:cs="Times New Roman" w:hint="eastAsia"/>
        </w:rPr>
        <w:t>个因素：其一，政策相对宽松环境下的执行与落地力度</w:t>
      </w:r>
      <w:r w:rsidR="00C44093" w:rsidRPr="00C64AE1">
        <w:rPr>
          <w:rFonts w:ascii="楷体" w:eastAsia="楷体" w:hAnsi="楷体" w:cs="Times New Roman" w:hint="eastAsia"/>
        </w:rPr>
        <w:t>与程度</w:t>
      </w:r>
      <w:r w:rsidRPr="00C64AE1">
        <w:rPr>
          <w:rFonts w:ascii="楷体" w:eastAsia="楷体" w:hAnsi="楷体" w:cs="Times New Roman" w:hint="eastAsia"/>
        </w:rPr>
        <w:t>；其二，外部环境及其</w:t>
      </w:r>
      <w:r w:rsidR="008206F4" w:rsidRPr="00C64AE1">
        <w:rPr>
          <w:rFonts w:ascii="楷体" w:eastAsia="楷体" w:hAnsi="楷体" w:cs="Times New Roman" w:hint="eastAsia"/>
        </w:rPr>
        <w:t>引致的非乐观</w:t>
      </w:r>
      <w:r w:rsidRPr="00C64AE1">
        <w:rPr>
          <w:rFonts w:ascii="楷体" w:eastAsia="楷体" w:hAnsi="楷体" w:cs="Times New Roman" w:hint="eastAsia"/>
        </w:rPr>
        <w:t>预期是否有实质性改变</w:t>
      </w:r>
      <w:r w:rsidR="00C44093" w:rsidRPr="00C64AE1">
        <w:rPr>
          <w:rFonts w:ascii="楷体" w:eastAsia="楷体" w:hAnsi="楷体" w:cs="Times New Roman" w:hint="eastAsia"/>
        </w:rPr>
        <w:t>；其三，宏观经济基本面是否有实质性的改善</w:t>
      </w:r>
      <w:r w:rsidRPr="00C64AE1">
        <w:rPr>
          <w:rFonts w:ascii="楷体" w:eastAsia="楷体" w:hAnsi="楷体" w:cs="Times New Roman" w:hint="eastAsia"/>
        </w:rPr>
        <w:t>。</w:t>
      </w:r>
    </w:p>
    <w:p w:rsidR="00DF221D" w:rsidRPr="00C64AE1" w:rsidRDefault="00DF221D" w:rsidP="00446770">
      <w:pPr>
        <w:widowControl/>
        <w:numPr>
          <w:ilvl w:val="1"/>
          <w:numId w:val="0"/>
        </w:numPr>
        <w:spacing w:beforeLines="50" w:afterLines="50" w:line="360" w:lineRule="auto"/>
        <w:ind w:leftChars="1200" w:left="3026" w:hangingChars="180" w:hanging="506"/>
        <w:outlineLvl w:val="1"/>
        <w:rPr>
          <w:rFonts w:ascii="楷体" w:eastAsia="楷体" w:hAnsi="楷体" w:cs="Times New Roman"/>
          <w:b/>
          <w:sz w:val="28"/>
        </w:rPr>
      </w:pPr>
      <w:bookmarkStart w:id="34" w:name="_Toc531856912"/>
      <w:r w:rsidRPr="00C64AE1">
        <w:rPr>
          <w:rFonts w:ascii="楷体" w:eastAsia="楷体" w:hAnsi="楷体" w:cs="Times New Roman" w:hint="eastAsia"/>
          <w:b/>
          <w:sz w:val="28"/>
        </w:rPr>
        <w:t>2.</w:t>
      </w:r>
      <w:r w:rsidR="007349C2" w:rsidRPr="00C64AE1">
        <w:rPr>
          <w:rFonts w:ascii="楷体" w:eastAsia="楷体" w:hAnsi="楷体" w:cs="Times New Roman" w:hint="eastAsia"/>
          <w:b/>
          <w:sz w:val="28"/>
        </w:rPr>
        <w:t>3</w:t>
      </w:r>
      <w:r w:rsidRPr="00C64AE1">
        <w:rPr>
          <w:rFonts w:ascii="楷体" w:eastAsia="楷体" w:hAnsi="楷体" w:cs="Times New Roman" w:hint="eastAsia"/>
          <w:b/>
          <w:sz w:val="28"/>
        </w:rPr>
        <w:t>经典片段未来时间段内的因子业绩特征</w:t>
      </w:r>
      <w:bookmarkEnd w:id="34"/>
    </w:p>
    <w:p w:rsidR="003F248D" w:rsidRPr="00C64AE1" w:rsidRDefault="00F61610"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考虑到</w:t>
      </w:r>
      <w:r w:rsidR="003F248D" w:rsidRPr="00C64AE1">
        <w:rPr>
          <w:rFonts w:ascii="楷体" w:eastAsia="楷体" w:hAnsi="楷体" w:cs="Times New Roman" w:hint="eastAsia"/>
        </w:rPr>
        <w:t>中证5</w:t>
      </w:r>
      <w:r w:rsidR="003F248D" w:rsidRPr="00C64AE1">
        <w:rPr>
          <w:rFonts w:ascii="楷体" w:eastAsia="楷体" w:hAnsi="楷体" w:cs="Times New Roman"/>
        </w:rPr>
        <w:t>00</w:t>
      </w:r>
      <w:r w:rsidR="003F248D" w:rsidRPr="00C64AE1">
        <w:rPr>
          <w:rFonts w:ascii="楷体" w:eastAsia="楷体" w:hAnsi="楷体" w:cs="Times New Roman" w:hint="eastAsia"/>
        </w:rPr>
        <w:t>指数</w:t>
      </w:r>
      <w:r w:rsidRPr="00C64AE1">
        <w:rPr>
          <w:rFonts w:ascii="楷体" w:eastAsia="楷体" w:hAnsi="楷体" w:cs="Times New Roman" w:hint="eastAsia"/>
        </w:rPr>
        <w:t>在</w:t>
      </w:r>
      <w:r w:rsidR="003F248D" w:rsidRPr="00C64AE1">
        <w:rPr>
          <w:rFonts w:ascii="楷体" w:eastAsia="楷体" w:hAnsi="楷体" w:cs="Times New Roman"/>
        </w:rPr>
        <w:t>2007</w:t>
      </w:r>
      <w:r w:rsidR="003F248D" w:rsidRPr="00C64AE1">
        <w:rPr>
          <w:rFonts w:ascii="楷体" w:eastAsia="楷体" w:hAnsi="楷体" w:cs="Times New Roman" w:hint="eastAsia"/>
        </w:rPr>
        <w:t>年初</w:t>
      </w:r>
      <w:r w:rsidRPr="00C64AE1">
        <w:rPr>
          <w:rFonts w:ascii="楷体" w:eastAsia="楷体" w:hAnsi="楷体" w:cs="Times New Roman" w:hint="eastAsia"/>
        </w:rPr>
        <w:t>才</w:t>
      </w:r>
      <w:r w:rsidR="003F248D" w:rsidRPr="00C64AE1">
        <w:rPr>
          <w:rFonts w:ascii="楷体" w:eastAsia="楷体" w:hAnsi="楷体" w:cs="Times New Roman" w:hint="eastAsia"/>
        </w:rPr>
        <w:t>发布，</w:t>
      </w:r>
      <w:r w:rsidR="00106811" w:rsidRPr="00C64AE1">
        <w:rPr>
          <w:rFonts w:ascii="楷体" w:eastAsia="楷体" w:hAnsi="楷体" w:cs="Times New Roman" w:hint="eastAsia"/>
        </w:rPr>
        <w:t>受数据的限制，报告以大类因子对冲中证500的收益</w:t>
      </w:r>
      <w:r w:rsidR="00380979" w:rsidRPr="00C64AE1">
        <w:rPr>
          <w:rFonts w:ascii="楷体" w:eastAsia="楷体" w:hAnsi="楷体" w:cs="Times New Roman" w:hint="eastAsia"/>
        </w:rPr>
        <w:t>为</w:t>
      </w:r>
      <w:r w:rsidR="00106811" w:rsidRPr="00C64AE1">
        <w:rPr>
          <w:rFonts w:ascii="楷体" w:eastAsia="楷体" w:hAnsi="楷体" w:cs="Times New Roman" w:hint="eastAsia"/>
        </w:rPr>
        <w:t>比较参照，侧重研究经典片段1未来时间段内的因子业绩特征以及2018年的因子业绩表现。</w:t>
      </w:r>
    </w:p>
    <w:p w:rsidR="003A7D68" w:rsidRPr="00C64AE1" w:rsidRDefault="00106811"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具体而言， 2018年以来，规模、盈利因子表现较好，反转、营运表现较差。相似片段1（2</w:t>
      </w:r>
      <w:r w:rsidRPr="00C64AE1">
        <w:rPr>
          <w:rFonts w:ascii="楷体" w:eastAsia="楷体" w:hAnsi="楷体" w:cs="Times New Roman"/>
        </w:rPr>
        <w:t>011-04-18</w:t>
      </w:r>
      <w:r w:rsidRPr="00C64AE1">
        <w:rPr>
          <w:rFonts w:ascii="楷体" w:eastAsia="楷体" w:hAnsi="楷体" w:cs="Times New Roman" w:hint="eastAsia"/>
        </w:rPr>
        <w:t>至</w:t>
      </w:r>
      <w:r w:rsidRPr="00C64AE1">
        <w:rPr>
          <w:rFonts w:ascii="楷体" w:eastAsia="楷体" w:hAnsi="楷体" w:cs="Times New Roman"/>
        </w:rPr>
        <w:t>2012-01-05</w:t>
      </w:r>
      <w:r w:rsidRPr="00C64AE1">
        <w:rPr>
          <w:rFonts w:ascii="楷体" w:eastAsia="楷体" w:hAnsi="楷体" w:cs="Times New Roman" w:hint="eastAsia"/>
        </w:rPr>
        <w:t>），规模、盈利、流动性因子表现较好，相对中证5</w:t>
      </w:r>
      <w:r w:rsidRPr="00C64AE1">
        <w:rPr>
          <w:rFonts w:ascii="楷体" w:eastAsia="楷体" w:hAnsi="楷体" w:cs="Times New Roman"/>
        </w:rPr>
        <w:t>00</w:t>
      </w:r>
      <w:r w:rsidRPr="00C64AE1">
        <w:rPr>
          <w:rFonts w:ascii="楷体" w:eastAsia="楷体" w:hAnsi="楷体" w:cs="Times New Roman" w:hint="eastAsia"/>
        </w:rPr>
        <w:t>有最高1</w:t>
      </w:r>
      <w:r w:rsidRPr="00C64AE1">
        <w:rPr>
          <w:rFonts w:ascii="楷体" w:eastAsia="楷体" w:hAnsi="楷体" w:cs="Times New Roman"/>
        </w:rPr>
        <w:t>2%</w:t>
      </w:r>
      <w:r w:rsidRPr="00C64AE1">
        <w:rPr>
          <w:rFonts w:ascii="楷体" w:eastAsia="楷体" w:hAnsi="楷体" w:cs="Times New Roman" w:hint="eastAsia"/>
        </w:rPr>
        <w:t>的超额收益，估值、反转表现较差。相似片段1之后1-6个月内，规模、成长、反转因子表现的连续性较好，未来6个月内相对中证500有超10%的超额收益，盈利、营运表现持续弱势，未来1-6个月内未有明显强于中证500的超额收益。</w:t>
      </w:r>
    </w:p>
    <w:p w:rsidR="003F248D" w:rsidRPr="00C64AE1" w:rsidRDefault="003F248D" w:rsidP="00106811">
      <w:pPr>
        <w:keepNext/>
        <w:keepLines/>
        <w:widowControl/>
        <w:jc w:val="left"/>
        <w:rPr>
          <w:rFonts w:ascii="楷体" w:eastAsia="楷体" w:hAnsi="楷体" w:cs="Arial"/>
          <w:kern w:val="0"/>
          <w:sz w:val="20"/>
          <w:szCs w:val="20"/>
        </w:rPr>
      </w:pPr>
      <w:r w:rsidRPr="00C64AE1">
        <w:rPr>
          <w:rFonts w:ascii="楷体" w:eastAsia="楷体" w:hAnsi="楷体" w:cs="Arial" w:hint="eastAsia"/>
          <w:kern w:val="0"/>
          <w:sz w:val="20"/>
          <w:szCs w:val="20"/>
        </w:rPr>
        <w:t>表</w:t>
      </w:r>
      <w:r w:rsidR="00106811" w:rsidRPr="00C64AE1">
        <w:rPr>
          <w:rFonts w:ascii="楷体" w:eastAsia="楷体" w:hAnsi="楷体" w:cs="Arial" w:hint="eastAsia"/>
          <w:kern w:val="0"/>
          <w:sz w:val="20"/>
          <w:szCs w:val="20"/>
        </w:rPr>
        <w:t xml:space="preserve">6 </w:t>
      </w:r>
      <w:r w:rsidRPr="00C64AE1">
        <w:rPr>
          <w:rFonts w:ascii="楷体" w:eastAsia="楷体" w:hAnsi="楷体" w:cs="Arial" w:hint="eastAsia"/>
          <w:kern w:val="0"/>
          <w:sz w:val="20"/>
          <w:szCs w:val="20"/>
        </w:rPr>
        <w:t>合成大类因子各下跌区间对冲中证5</w:t>
      </w:r>
      <w:r w:rsidRPr="00C64AE1">
        <w:rPr>
          <w:rFonts w:ascii="楷体" w:eastAsia="楷体" w:hAnsi="楷体" w:cs="Arial"/>
          <w:kern w:val="0"/>
          <w:sz w:val="20"/>
          <w:szCs w:val="20"/>
        </w:rPr>
        <w:t>00</w:t>
      </w:r>
      <w:r w:rsidRPr="00C64AE1">
        <w:rPr>
          <w:rFonts w:ascii="楷体" w:eastAsia="楷体" w:hAnsi="楷体" w:cs="Arial" w:hint="eastAsia"/>
          <w:kern w:val="0"/>
          <w:sz w:val="20"/>
          <w:szCs w:val="20"/>
        </w:rPr>
        <w:t>收益</w:t>
      </w:r>
    </w:p>
    <w:tbl>
      <w:tblPr>
        <w:tblW w:w="5000" w:type="pct"/>
        <w:jc w:val="right"/>
        <w:tblLook w:val="04A0"/>
      </w:tblPr>
      <w:tblGrid>
        <w:gridCol w:w="1830"/>
        <w:gridCol w:w="2072"/>
        <w:gridCol w:w="1589"/>
        <w:gridCol w:w="1831"/>
        <w:gridCol w:w="1831"/>
        <w:gridCol w:w="1835"/>
      </w:tblGrid>
      <w:tr w:rsidR="003F248D" w:rsidRPr="00C64AE1" w:rsidTr="00237667">
        <w:trPr>
          <w:trHeight w:val="407"/>
          <w:jc w:val="right"/>
        </w:trPr>
        <w:tc>
          <w:tcPr>
            <w:tcW w:w="833" w:type="pct"/>
            <w:vMerge w:val="restart"/>
            <w:tcBorders>
              <w:top w:val="single" w:sz="12" w:space="0" w:color="BE0000"/>
              <w:left w:val="dotted" w:sz="4" w:space="0" w:color="auto"/>
              <w:right w:val="dotted" w:sz="4" w:space="0" w:color="auto"/>
            </w:tcBorders>
          </w:tcPr>
          <w:p w:rsidR="003F248D" w:rsidRPr="00C64AE1" w:rsidRDefault="003F248D" w:rsidP="00697663">
            <w:pPr>
              <w:ind w:left="-104"/>
              <w:jc w:val="center"/>
              <w:rPr>
                <w:rFonts w:ascii="Times New Roman" w:eastAsia="楷体" w:hAnsi="Times New Roman"/>
                <w:b/>
              </w:rPr>
            </w:pPr>
          </w:p>
        </w:tc>
        <w:tc>
          <w:tcPr>
            <w:tcW w:w="943" w:type="pct"/>
            <w:tcBorders>
              <w:top w:val="single" w:sz="12" w:space="0" w:color="BE0000"/>
              <w:left w:val="dotted" w:sz="4" w:space="0" w:color="auto"/>
              <w:bottom w:val="dotted" w:sz="4" w:space="0" w:color="BE0000"/>
              <w:right w:val="dotted" w:sz="4" w:space="0" w:color="auto"/>
            </w:tcBorders>
            <w:vAlign w:val="center"/>
          </w:tcPr>
          <w:p w:rsidR="003F248D" w:rsidRPr="00C64AE1" w:rsidRDefault="00136134" w:rsidP="00697663">
            <w:pPr>
              <w:widowControl/>
              <w:jc w:val="center"/>
              <w:rPr>
                <w:rFonts w:ascii="Times New Roman" w:eastAsia="楷体" w:hAnsi="Times New Roman"/>
                <w:kern w:val="0"/>
              </w:rPr>
            </w:pPr>
            <w:r w:rsidRPr="00C64AE1">
              <w:rPr>
                <w:rFonts w:ascii="Times New Roman" w:eastAsia="楷体" w:hAnsi="楷体" w:hint="eastAsia"/>
              </w:rPr>
              <w:t>2018</w:t>
            </w:r>
            <w:r w:rsidRPr="00C64AE1">
              <w:rPr>
                <w:rFonts w:ascii="Times New Roman" w:eastAsia="楷体" w:hAnsi="楷体" w:hint="eastAsia"/>
              </w:rPr>
              <w:t>年下跌区间</w:t>
            </w:r>
          </w:p>
        </w:tc>
        <w:tc>
          <w:tcPr>
            <w:tcW w:w="3224" w:type="pct"/>
            <w:gridSpan w:val="4"/>
            <w:tcBorders>
              <w:top w:val="single" w:sz="12" w:space="0" w:color="BE0000"/>
              <w:left w:val="dotted" w:sz="4" w:space="0" w:color="auto"/>
              <w:bottom w:val="dotted" w:sz="4" w:space="0" w:color="BE0000"/>
              <w:right w:val="dotted" w:sz="4" w:space="0" w:color="auto"/>
            </w:tcBorders>
          </w:tcPr>
          <w:p w:rsidR="003F248D" w:rsidRPr="00C64AE1" w:rsidRDefault="00106811" w:rsidP="00106811">
            <w:pPr>
              <w:jc w:val="center"/>
              <w:rPr>
                <w:rFonts w:ascii="Times New Roman" w:eastAsia="楷体" w:hAnsi="Times New Roman"/>
              </w:rPr>
            </w:pPr>
            <w:r w:rsidRPr="00C64AE1">
              <w:rPr>
                <w:rFonts w:ascii="Times New Roman" w:eastAsia="楷体" w:hAnsi="楷体" w:hint="eastAsia"/>
              </w:rPr>
              <w:t>相似片段</w:t>
            </w:r>
            <w:r w:rsidRPr="00C64AE1">
              <w:rPr>
                <w:rFonts w:ascii="Times New Roman" w:eastAsia="楷体" w:hAnsi="楷体" w:hint="eastAsia"/>
              </w:rPr>
              <w:t>1</w:t>
            </w:r>
            <w:r w:rsidR="003F248D" w:rsidRPr="00C64AE1">
              <w:rPr>
                <w:rFonts w:ascii="Times New Roman" w:eastAsia="楷体" w:hAnsi="楷体" w:hint="eastAsia"/>
              </w:rPr>
              <w:t>（</w:t>
            </w:r>
            <w:r w:rsidR="003F248D" w:rsidRPr="00C64AE1">
              <w:rPr>
                <w:rFonts w:ascii="Times New Roman" w:eastAsia="楷体" w:hAnsi="Times New Roman" w:hint="eastAsia"/>
              </w:rPr>
              <w:t>2</w:t>
            </w:r>
            <w:r w:rsidR="003F248D" w:rsidRPr="00C64AE1">
              <w:rPr>
                <w:rFonts w:ascii="Times New Roman" w:eastAsia="楷体" w:hAnsi="Times New Roman"/>
              </w:rPr>
              <w:t>011-04-18</w:t>
            </w:r>
            <w:r w:rsidR="003F248D" w:rsidRPr="00C64AE1">
              <w:rPr>
                <w:rFonts w:ascii="Times New Roman" w:eastAsia="楷体" w:hAnsi="楷体" w:hint="eastAsia"/>
              </w:rPr>
              <w:t>至</w:t>
            </w:r>
            <w:r w:rsidR="003F248D" w:rsidRPr="00C64AE1">
              <w:rPr>
                <w:rFonts w:ascii="Times New Roman" w:eastAsia="楷体" w:hAnsi="Times New Roman"/>
              </w:rPr>
              <w:t>2012-01-05</w:t>
            </w:r>
            <w:r w:rsidR="003F248D" w:rsidRPr="00C64AE1">
              <w:rPr>
                <w:rFonts w:ascii="Times New Roman" w:eastAsia="楷体" w:hAnsi="楷体" w:hint="eastAsia"/>
              </w:rPr>
              <w:t>）</w:t>
            </w:r>
          </w:p>
        </w:tc>
      </w:tr>
      <w:tr w:rsidR="003F248D" w:rsidRPr="00C64AE1" w:rsidTr="00237667">
        <w:trPr>
          <w:trHeight w:val="213"/>
          <w:jc w:val="right"/>
        </w:trPr>
        <w:tc>
          <w:tcPr>
            <w:tcW w:w="833" w:type="pct"/>
            <w:vMerge/>
            <w:tcBorders>
              <w:left w:val="dotted" w:sz="4" w:space="0" w:color="auto"/>
              <w:bottom w:val="single" w:sz="6" w:space="0" w:color="BE0000"/>
              <w:right w:val="dotted" w:sz="4" w:space="0" w:color="auto"/>
            </w:tcBorders>
          </w:tcPr>
          <w:p w:rsidR="003F248D" w:rsidRPr="00C64AE1" w:rsidRDefault="003F248D" w:rsidP="00697663">
            <w:pPr>
              <w:ind w:left="-104"/>
              <w:jc w:val="center"/>
              <w:rPr>
                <w:rFonts w:ascii="Times New Roman" w:eastAsia="楷体" w:hAnsi="Times New Roman"/>
                <w:b/>
              </w:rPr>
            </w:pPr>
          </w:p>
        </w:tc>
        <w:tc>
          <w:tcPr>
            <w:tcW w:w="943" w:type="pct"/>
            <w:tcBorders>
              <w:top w:val="dotted" w:sz="4" w:space="0" w:color="BE0000"/>
              <w:left w:val="dotted" w:sz="4" w:space="0" w:color="auto"/>
              <w:bottom w:val="single" w:sz="6" w:space="0" w:color="BE0000"/>
              <w:right w:val="dotted" w:sz="4" w:space="0" w:color="auto"/>
            </w:tcBorders>
            <w:vAlign w:val="center"/>
          </w:tcPr>
          <w:p w:rsidR="003F248D" w:rsidRPr="00C64AE1" w:rsidRDefault="003F248D" w:rsidP="00697663">
            <w:pPr>
              <w:widowControl/>
              <w:jc w:val="center"/>
              <w:rPr>
                <w:rFonts w:ascii="Times New Roman" w:eastAsia="楷体" w:hAnsi="Times New Roman"/>
              </w:rPr>
            </w:pPr>
            <w:r w:rsidRPr="00C64AE1">
              <w:rPr>
                <w:rFonts w:ascii="Times New Roman" w:eastAsia="楷体" w:hAnsi="楷体" w:hint="eastAsia"/>
              </w:rPr>
              <w:t>区间表现</w:t>
            </w:r>
          </w:p>
        </w:tc>
        <w:tc>
          <w:tcPr>
            <w:tcW w:w="723" w:type="pct"/>
            <w:tcBorders>
              <w:top w:val="dotted" w:sz="4" w:space="0" w:color="BE0000"/>
              <w:left w:val="dotted" w:sz="4" w:space="0" w:color="auto"/>
              <w:bottom w:val="single" w:sz="4" w:space="0" w:color="BE0000"/>
              <w:right w:val="dotted" w:sz="4" w:space="0" w:color="auto"/>
            </w:tcBorders>
          </w:tcPr>
          <w:p w:rsidR="003F248D" w:rsidRPr="00C64AE1" w:rsidRDefault="003F248D" w:rsidP="00697663">
            <w:pPr>
              <w:widowControl/>
              <w:jc w:val="center"/>
              <w:rPr>
                <w:rFonts w:ascii="Times New Roman" w:eastAsia="楷体" w:hAnsi="Times New Roman"/>
                <w:kern w:val="0"/>
              </w:rPr>
            </w:pPr>
            <w:r w:rsidRPr="00C64AE1">
              <w:rPr>
                <w:rFonts w:ascii="Times New Roman" w:eastAsia="楷体" w:hAnsi="楷体" w:hint="eastAsia"/>
              </w:rPr>
              <w:t>区间表现</w:t>
            </w:r>
          </w:p>
        </w:tc>
        <w:tc>
          <w:tcPr>
            <w:tcW w:w="833" w:type="pct"/>
            <w:tcBorders>
              <w:top w:val="dotted" w:sz="4" w:space="0" w:color="BE0000"/>
              <w:left w:val="dotted" w:sz="4" w:space="0" w:color="auto"/>
              <w:bottom w:val="single" w:sz="4" w:space="0" w:color="BE0000"/>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楷体" w:hint="eastAsia"/>
              </w:rPr>
              <w:t>之</w:t>
            </w:r>
            <w:r w:rsidRPr="00C64AE1">
              <w:rPr>
                <w:rFonts w:ascii="Times New Roman" w:eastAsia="楷体" w:hAnsi="楷体"/>
              </w:rPr>
              <w:t>后</w:t>
            </w:r>
            <w:r w:rsidRPr="00C64AE1">
              <w:rPr>
                <w:rFonts w:ascii="Times New Roman" w:eastAsia="楷体" w:hAnsi="Times New Roman" w:hint="eastAsia"/>
              </w:rPr>
              <w:t>1</w:t>
            </w:r>
            <w:r w:rsidRPr="00C64AE1">
              <w:rPr>
                <w:rFonts w:ascii="Times New Roman" w:eastAsia="楷体" w:hAnsi="楷体"/>
              </w:rPr>
              <w:t>月</w:t>
            </w:r>
          </w:p>
        </w:tc>
        <w:tc>
          <w:tcPr>
            <w:tcW w:w="833" w:type="pct"/>
            <w:tcBorders>
              <w:top w:val="dotted" w:sz="4" w:space="0" w:color="BE0000"/>
              <w:left w:val="dotted" w:sz="4" w:space="0" w:color="auto"/>
              <w:bottom w:val="single" w:sz="4" w:space="0" w:color="BE0000"/>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楷体" w:hint="eastAsia"/>
              </w:rPr>
              <w:t>之</w:t>
            </w:r>
            <w:r w:rsidRPr="00C64AE1">
              <w:rPr>
                <w:rFonts w:ascii="Times New Roman" w:eastAsia="楷体" w:hAnsi="楷体"/>
              </w:rPr>
              <w:t>后</w:t>
            </w:r>
            <w:r w:rsidRPr="00C64AE1">
              <w:rPr>
                <w:rFonts w:ascii="Times New Roman" w:eastAsia="楷体" w:hAnsi="Times New Roman" w:hint="eastAsia"/>
              </w:rPr>
              <w:t>3</w:t>
            </w:r>
            <w:r w:rsidRPr="00C64AE1">
              <w:rPr>
                <w:rFonts w:ascii="Times New Roman" w:eastAsia="楷体" w:hAnsi="楷体" w:hint="eastAsia"/>
              </w:rPr>
              <w:t>月</w:t>
            </w:r>
          </w:p>
        </w:tc>
        <w:tc>
          <w:tcPr>
            <w:tcW w:w="835" w:type="pct"/>
            <w:tcBorders>
              <w:top w:val="dotted" w:sz="4" w:space="0" w:color="BE0000"/>
              <w:left w:val="dotted" w:sz="4" w:space="0" w:color="auto"/>
              <w:bottom w:val="single" w:sz="4" w:space="0" w:color="BE0000"/>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楷体" w:hint="eastAsia"/>
              </w:rPr>
              <w:t>之</w:t>
            </w:r>
            <w:r w:rsidRPr="00C64AE1">
              <w:rPr>
                <w:rFonts w:ascii="Times New Roman" w:eastAsia="楷体" w:hAnsi="楷体"/>
              </w:rPr>
              <w:t>后</w:t>
            </w:r>
            <w:r w:rsidRPr="00C64AE1">
              <w:rPr>
                <w:rFonts w:ascii="Times New Roman" w:eastAsia="楷体" w:hAnsi="Times New Roman" w:hint="eastAsia"/>
              </w:rPr>
              <w:t>6</w:t>
            </w:r>
            <w:r w:rsidRPr="00C64AE1">
              <w:rPr>
                <w:rFonts w:ascii="Times New Roman" w:eastAsia="楷体" w:hAnsi="楷体"/>
              </w:rPr>
              <w:t>月</w:t>
            </w:r>
          </w:p>
        </w:tc>
      </w:tr>
      <w:tr w:rsidR="003F248D" w:rsidRPr="00C64AE1" w:rsidTr="00237667">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widowControl/>
              <w:jc w:val="center"/>
              <w:rPr>
                <w:rFonts w:ascii="Times New Roman" w:eastAsia="楷体" w:hAnsi="Times New Roman"/>
                <w:kern w:val="0"/>
              </w:rPr>
            </w:pPr>
            <w:r w:rsidRPr="00C64AE1">
              <w:rPr>
                <w:rFonts w:ascii="Times New Roman" w:eastAsia="楷体" w:hAnsi="楷体" w:hint="eastAsia"/>
              </w:rPr>
              <w:t>规模</w:t>
            </w:r>
          </w:p>
        </w:tc>
        <w:tc>
          <w:tcPr>
            <w:tcW w:w="94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widowControl/>
              <w:jc w:val="center"/>
              <w:rPr>
                <w:rFonts w:ascii="Times New Roman" w:eastAsia="楷体" w:hAnsi="Times New Roman"/>
                <w:kern w:val="0"/>
              </w:rPr>
            </w:pPr>
            <w:r w:rsidRPr="00C64AE1">
              <w:rPr>
                <w:rFonts w:ascii="Times New Roman" w:eastAsia="楷体" w:hAnsi="Times New Roman" w:hint="eastAsia"/>
              </w:rPr>
              <w:t>9.79%</w:t>
            </w:r>
          </w:p>
        </w:tc>
        <w:tc>
          <w:tcPr>
            <w:tcW w:w="723" w:type="pct"/>
            <w:tcBorders>
              <w:top w:val="single" w:sz="4" w:space="0" w:color="BE0000"/>
              <w:left w:val="dotted" w:sz="4" w:space="0" w:color="auto"/>
              <w:bottom w:val="dotted" w:sz="4" w:space="0" w:color="auto"/>
              <w:right w:val="dotted" w:sz="4" w:space="0" w:color="auto"/>
            </w:tcBorders>
            <w:vAlign w:val="center"/>
          </w:tcPr>
          <w:p w:rsidR="003F248D" w:rsidRPr="00C64AE1" w:rsidRDefault="003F248D" w:rsidP="00697663">
            <w:pPr>
              <w:widowControl/>
              <w:jc w:val="center"/>
              <w:rPr>
                <w:rFonts w:ascii="Times New Roman" w:eastAsia="楷体" w:hAnsi="Times New Roman"/>
                <w:kern w:val="0"/>
              </w:rPr>
            </w:pPr>
            <w:r w:rsidRPr="00C64AE1">
              <w:rPr>
                <w:rFonts w:ascii="Times New Roman" w:eastAsia="楷体" w:hAnsi="Times New Roman" w:hint="eastAsia"/>
              </w:rPr>
              <w:t>7.89%</w:t>
            </w:r>
          </w:p>
        </w:tc>
        <w:tc>
          <w:tcPr>
            <w:tcW w:w="833" w:type="pct"/>
            <w:tcBorders>
              <w:top w:val="single" w:sz="4" w:space="0" w:color="BE0000"/>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3.20%</w:t>
            </w:r>
          </w:p>
        </w:tc>
        <w:tc>
          <w:tcPr>
            <w:tcW w:w="833" w:type="pct"/>
            <w:tcBorders>
              <w:top w:val="single" w:sz="4" w:space="0" w:color="BE0000"/>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4.77%</w:t>
            </w:r>
          </w:p>
        </w:tc>
        <w:tc>
          <w:tcPr>
            <w:tcW w:w="835" w:type="pct"/>
            <w:tcBorders>
              <w:top w:val="single" w:sz="4" w:space="0" w:color="BE0000"/>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11.05%</w:t>
            </w:r>
          </w:p>
        </w:tc>
      </w:tr>
      <w:tr w:rsidR="003F248D" w:rsidRPr="00C64AE1" w:rsidTr="00237667">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楷体" w:hint="eastAsia"/>
              </w:rPr>
              <w:t>估值</w:t>
            </w:r>
          </w:p>
        </w:tc>
        <w:tc>
          <w:tcPr>
            <w:tcW w:w="94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0.21%</w:t>
            </w:r>
          </w:p>
        </w:tc>
        <w:tc>
          <w:tcPr>
            <w:tcW w:w="72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2.93%</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2.47%</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2.79%</w:t>
            </w:r>
          </w:p>
        </w:tc>
        <w:tc>
          <w:tcPr>
            <w:tcW w:w="835"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4.57%</w:t>
            </w:r>
          </w:p>
        </w:tc>
      </w:tr>
      <w:tr w:rsidR="003F248D" w:rsidRPr="00C64AE1" w:rsidTr="00237667">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楷体" w:hint="eastAsia"/>
              </w:rPr>
              <w:t>盈利</w:t>
            </w:r>
          </w:p>
        </w:tc>
        <w:tc>
          <w:tcPr>
            <w:tcW w:w="94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8.25%</w:t>
            </w:r>
          </w:p>
        </w:tc>
        <w:tc>
          <w:tcPr>
            <w:tcW w:w="72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12.65%</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-1.83%</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-1.00%</w:t>
            </w:r>
          </w:p>
        </w:tc>
        <w:tc>
          <w:tcPr>
            <w:tcW w:w="835"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2.11%</w:t>
            </w:r>
          </w:p>
        </w:tc>
      </w:tr>
      <w:tr w:rsidR="003F248D" w:rsidRPr="00C64AE1" w:rsidTr="00237667">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楷体" w:hint="eastAsia"/>
              </w:rPr>
              <w:t>成长</w:t>
            </w:r>
          </w:p>
        </w:tc>
        <w:tc>
          <w:tcPr>
            <w:tcW w:w="94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0.23%</w:t>
            </w:r>
          </w:p>
        </w:tc>
        <w:tc>
          <w:tcPr>
            <w:tcW w:w="72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5.76%</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2.09%</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4.34%</w:t>
            </w:r>
          </w:p>
        </w:tc>
        <w:tc>
          <w:tcPr>
            <w:tcW w:w="835"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12.56%</w:t>
            </w:r>
          </w:p>
        </w:tc>
      </w:tr>
      <w:tr w:rsidR="003F248D" w:rsidRPr="00C64AE1" w:rsidTr="00237667">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楷体" w:hint="eastAsia"/>
              </w:rPr>
              <w:t>营运</w:t>
            </w:r>
          </w:p>
        </w:tc>
        <w:tc>
          <w:tcPr>
            <w:tcW w:w="94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-0.74%</w:t>
            </w:r>
          </w:p>
        </w:tc>
        <w:tc>
          <w:tcPr>
            <w:tcW w:w="72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5.95%</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-3.81%</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-4.00%</w:t>
            </w:r>
          </w:p>
        </w:tc>
        <w:tc>
          <w:tcPr>
            <w:tcW w:w="835"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-3.01%</w:t>
            </w:r>
          </w:p>
        </w:tc>
      </w:tr>
      <w:tr w:rsidR="003F248D" w:rsidRPr="00C64AE1" w:rsidTr="00237667">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楷体" w:hint="eastAsia"/>
              </w:rPr>
              <w:t>反转</w:t>
            </w:r>
          </w:p>
        </w:tc>
        <w:tc>
          <w:tcPr>
            <w:tcW w:w="94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-1.95%</w:t>
            </w:r>
          </w:p>
        </w:tc>
        <w:tc>
          <w:tcPr>
            <w:tcW w:w="72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4.72%</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7.01%</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10.26%</w:t>
            </w:r>
          </w:p>
        </w:tc>
        <w:tc>
          <w:tcPr>
            <w:tcW w:w="835"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10.02%</w:t>
            </w:r>
          </w:p>
        </w:tc>
      </w:tr>
      <w:tr w:rsidR="003F248D" w:rsidRPr="00C64AE1" w:rsidTr="00237667">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楷体" w:hint="eastAsia"/>
              </w:rPr>
              <w:t>流动性</w:t>
            </w:r>
          </w:p>
        </w:tc>
        <w:tc>
          <w:tcPr>
            <w:tcW w:w="94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3.26%</w:t>
            </w:r>
          </w:p>
        </w:tc>
        <w:tc>
          <w:tcPr>
            <w:tcW w:w="72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12.65%</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-0.01%</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3.16%</w:t>
            </w:r>
          </w:p>
        </w:tc>
        <w:tc>
          <w:tcPr>
            <w:tcW w:w="835"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8.83%</w:t>
            </w:r>
          </w:p>
        </w:tc>
      </w:tr>
      <w:tr w:rsidR="003F248D" w:rsidRPr="00C64AE1" w:rsidTr="00237667">
        <w:trPr>
          <w:trHeight w:val="240"/>
          <w:jc w:val="right"/>
        </w:trPr>
        <w:tc>
          <w:tcPr>
            <w:tcW w:w="833"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楷体" w:hint="eastAsia"/>
              </w:rPr>
              <w:t>波动率</w:t>
            </w:r>
          </w:p>
        </w:tc>
        <w:tc>
          <w:tcPr>
            <w:tcW w:w="943"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2.49%</w:t>
            </w:r>
          </w:p>
        </w:tc>
        <w:tc>
          <w:tcPr>
            <w:tcW w:w="723"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7.19%</w:t>
            </w:r>
          </w:p>
        </w:tc>
        <w:tc>
          <w:tcPr>
            <w:tcW w:w="833"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-0.82%</w:t>
            </w:r>
          </w:p>
        </w:tc>
        <w:tc>
          <w:tcPr>
            <w:tcW w:w="833"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0.46%</w:t>
            </w:r>
          </w:p>
        </w:tc>
        <w:tc>
          <w:tcPr>
            <w:tcW w:w="835"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697663">
            <w:pPr>
              <w:jc w:val="center"/>
              <w:rPr>
                <w:rFonts w:ascii="Times New Roman" w:eastAsia="楷体" w:hAnsi="Times New Roman"/>
              </w:rPr>
            </w:pPr>
            <w:r w:rsidRPr="00C64AE1">
              <w:rPr>
                <w:rFonts w:ascii="Times New Roman" w:eastAsia="楷体" w:hAnsi="Times New Roman" w:hint="eastAsia"/>
              </w:rPr>
              <w:t>3.66%</w:t>
            </w:r>
          </w:p>
        </w:tc>
      </w:tr>
    </w:tbl>
    <w:p w:rsidR="003F248D" w:rsidRPr="00C64AE1" w:rsidRDefault="003F248D" w:rsidP="00237667">
      <w:pPr>
        <w:rPr>
          <w:rFonts w:ascii="楷体" w:eastAsia="楷体" w:hAnsi="楷体"/>
          <w:sz w:val="20"/>
          <w:szCs w:val="20"/>
        </w:rPr>
      </w:pPr>
      <w:r w:rsidRPr="00C64AE1">
        <w:rPr>
          <w:rFonts w:ascii="楷体" w:eastAsia="楷体" w:hAnsi="楷体" w:cs="Arial" w:hint="eastAsia"/>
          <w:sz w:val="20"/>
          <w:szCs w:val="20"/>
        </w:rPr>
        <w:t>资料来源：Wind，中山证券研究所</w:t>
      </w:r>
    </w:p>
    <w:p w:rsidR="003F248D" w:rsidRPr="00C64AE1" w:rsidRDefault="003F248D" w:rsidP="00C213D6">
      <w:pPr>
        <w:spacing w:line="60" w:lineRule="exact"/>
        <w:ind w:leftChars="1147" w:left="2409"/>
        <w:rPr>
          <w:rFonts w:ascii="楷体" w:eastAsia="楷体" w:hAnsi="楷体"/>
        </w:rPr>
      </w:pPr>
    </w:p>
    <w:p w:rsidR="003F248D" w:rsidRPr="00C64AE1" w:rsidRDefault="003F248D"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合成大类因子多空收益</w:t>
      </w:r>
      <w:r w:rsidR="007D3DFD" w:rsidRPr="00C64AE1">
        <w:rPr>
          <w:rFonts w:ascii="楷体" w:eastAsia="楷体" w:hAnsi="楷体" w:cs="Times New Roman" w:hint="eastAsia"/>
        </w:rPr>
        <w:t>方面</w:t>
      </w:r>
      <w:r w:rsidRPr="00C64AE1">
        <w:rPr>
          <w:rFonts w:ascii="楷体" w:eastAsia="楷体" w:hAnsi="楷体" w:cs="Times New Roman" w:hint="eastAsia"/>
        </w:rPr>
        <w:t>，2018年盈利、流动性、波动率因子表现较好，多空收益</w:t>
      </w:r>
      <w:r w:rsidR="007D3DFD" w:rsidRPr="00C64AE1">
        <w:rPr>
          <w:rFonts w:ascii="楷体" w:eastAsia="楷体" w:hAnsi="楷体" w:cs="Times New Roman" w:hint="eastAsia"/>
        </w:rPr>
        <w:t>超</w:t>
      </w:r>
      <w:r w:rsidRPr="00C64AE1">
        <w:rPr>
          <w:rFonts w:ascii="楷体" w:eastAsia="楷体" w:hAnsi="楷体" w:cs="Times New Roman" w:hint="eastAsia"/>
        </w:rPr>
        <w:t>1</w:t>
      </w:r>
      <w:r w:rsidRPr="00C64AE1">
        <w:rPr>
          <w:rFonts w:ascii="楷体" w:eastAsia="楷体" w:hAnsi="楷体" w:cs="Times New Roman"/>
        </w:rPr>
        <w:t>4%</w:t>
      </w:r>
      <w:r w:rsidRPr="00C64AE1">
        <w:rPr>
          <w:rFonts w:ascii="楷体" w:eastAsia="楷体" w:hAnsi="楷体" w:cs="Times New Roman" w:hint="eastAsia"/>
        </w:rPr>
        <w:t>，规模、营运表现较差。在</w:t>
      </w:r>
      <w:r w:rsidR="00C37743" w:rsidRPr="00C64AE1">
        <w:rPr>
          <w:rFonts w:ascii="楷体" w:eastAsia="楷体" w:hAnsi="楷体" w:cs="Times New Roman" w:hint="eastAsia"/>
        </w:rPr>
        <w:t>相似片段1中</w:t>
      </w:r>
      <w:r w:rsidRPr="00C64AE1">
        <w:rPr>
          <w:rFonts w:ascii="楷体" w:eastAsia="楷体" w:hAnsi="楷体" w:cs="Times New Roman" w:hint="eastAsia"/>
        </w:rPr>
        <w:t>，盈利、流动性、波动率因子表现较好，多空收益达</w:t>
      </w:r>
      <w:r w:rsidRPr="00C64AE1">
        <w:rPr>
          <w:rFonts w:ascii="楷体" w:eastAsia="楷体" w:hAnsi="楷体" w:cs="Times New Roman"/>
        </w:rPr>
        <w:t>22%</w:t>
      </w:r>
      <w:r w:rsidR="00C37743" w:rsidRPr="00C64AE1">
        <w:rPr>
          <w:rFonts w:ascii="楷体" w:eastAsia="楷体" w:hAnsi="楷体" w:cs="Times New Roman" w:hint="eastAsia"/>
        </w:rPr>
        <w:t>。结合合成大类因子对冲中证500的收益发现，波动率因子的多空收益主要来自空头，盈利与流动性因子收益依然多头占优</w:t>
      </w:r>
      <w:r w:rsidRPr="00C64AE1">
        <w:rPr>
          <w:rFonts w:ascii="楷体" w:eastAsia="楷体" w:hAnsi="楷体" w:cs="Times New Roman" w:hint="eastAsia"/>
        </w:rPr>
        <w:t>；规模、估值因子表现较差。</w:t>
      </w:r>
    </w:p>
    <w:p w:rsidR="003F248D" w:rsidRPr="00C64AE1" w:rsidRDefault="003F248D" w:rsidP="008F3CB1">
      <w:pPr>
        <w:spacing w:line="60" w:lineRule="exact"/>
        <w:ind w:leftChars="1147" w:left="2409"/>
        <w:rPr>
          <w:rFonts w:ascii="楷体" w:eastAsia="楷体" w:hAnsi="楷体"/>
        </w:rPr>
      </w:pPr>
    </w:p>
    <w:p w:rsidR="003F248D" w:rsidRPr="00C64AE1" w:rsidRDefault="003F248D" w:rsidP="00C213D6">
      <w:pPr>
        <w:keepNext/>
        <w:keepLines/>
        <w:widowControl/>
        <w:jc w:val="left"/>
        <w:rPr>
          <w:rFonts w:ascii="楷体" w:eastAsia="楷体" w:hAnsi="楷体"/>
          <w:sz w:val="20"/>
          <w:szCs w:val="20"/>
        </w:rPr>
      </w:pPr>
      <w:r w:rsidRPr="00C64AE1">
        <w:rPr>
          <w:rFonts w:ascii="楷体" w:eastAsia="楷体" w:hAnsi="楷体" w:cs="Arial" w:hint="eastAsia"/>
          <w:kern w:val="0"/>
          <w:sz w:val="20"/>
          <w:szCs w:val="20"/>
        </w:rPr>
        <w:t>表</w:t>
      </w:r>
      <w:r w:rsidR="008C4F44" w:rsidRPr="00C64AE1">
        <w:rPr>
          <w:rFonts w:ascii="楷体" w:eastAsia="楷体" w:hAnsi="楷体" w:cs="Arial" w:hint="eastAsia"/>
          <w:kern w:val="0"/>
          <w:sz w:val="20"/>
          <w:szCs w:val="20"/>
        </w:rPr>
        <w:t>7</w:t>
      </w:r>
      <w:r w:rsidRPr="00C64AE1">
        <w:rPr>
          <w:rFonts w:ascii="楷体" w:eastAsia="楷体" w:hAnsi="楷体" w:cs="Arial"/>
          <w:kern w:val="0"/>
          <w:sz w:val="20"/>
          <w:szCs w:val="20"/>
        </w:rPr>
        <w:t xml:space="preserve"> </w:t>
      </w:r>
      <w:r w:rsidRPr="00C64AE1">
        <w:rPr>
          <w:rFonts w:ascii="楷体" w:eastAsia="楷体" w:hAnsi="楷体" w:cs="Arial" w:hint="eastAsia"/>
          <w:kern w:val="0"/>
          <w:sz w:val="20"/>
          <w:szCs w:val="20"/>
        </w:rPr>
        <w:t>合成大类因子各下跌区间多空收益</w:t>
      </w:r>
    </w:p>
    <w:tbl>
      <w:tblPr>
        <w:tblW w:w="5000" w:type="pct"/>
        <w:jc w:val="right"/>
        <w:tblLook w:val="04A0"/>
      </w:tblPr>
      <w:tblGrid>
        <w:gridCol w:w="1830"/>
        <w:gridCol w:w="2072"/>
        <w:gridCol w:w="1589"/>
        <w:gridCol w:w="1831"/>
        <w:gridCol w:w="1831"/>
        <w:gridCol w:w="1835"/>
      </w:tblGrid>
      <w:tr w:rsidR="003F248D" w:rsidRPr="00C64AE1" w:rsidTr="00E26028">
        <w:trPr>
          <w:trHeight w:val="485"/>
          <w:tblHeader/>
          <w:jc w:val="right"/>
        </w:trPr>
        <w:tc>
          <w:tcPr>
            <w:tcW w:w="833" w:type="pct"/>
            <w:vMerge w:val="restart"/>
            <w:tcBorders>
              <w:top w:val="single" w:sz="12" w:space="0" w:color="BE0000"/>
              <w:left w:val="dotted" w:sz="4" w:space="0" w:color="auto"/>
              <w:right w:val="dotted" w:sz="4" w:space="0" w:color="auto"/>
            </w:tcBorders>
          </w:tcPr>
          <w:p w:rsidR="003F248D" w:rsidRPr="00C64AE1" w:rsidRDefault="003F248D" w:rsidP="00697663">
            <w:pPr>
              <w:ind w:left="-104"/>
              <w:jc w:val="center"/>
              <w:rPr>
                <w:rFonts w:ascii="Times New Roman" w:eastAsia="楷体" w:hAnsi="Times New Roman"/>
                <w:b/>
              </w:rPr>
            </w:pPr>
          </w:p>
        </w:tc>
        <w:tc>
          <w:tcPr>
            <w:tcW w:w="943" w:type="pct"/>
            <w:tcBorders>
              <w:top w:val="single" w:sz="12" w:space="0" w:color="BE0000"/>
              <w:left w:val="dotted" w:sz="4" w:space="0" w:color="auto"/>
              <w:bottom w:val="dotted" w:sz="4" w:space="0" w:color="BE0000"/>
              <w:right w:val="dotted" w:sz="4" w:space="0" w:color="auto"/>
            </w:tcBorders>
            <w:vAlign w:val="center"/>
          </w:tcPr>
          <w:p w:rsidR="003F248D" w:rsidRPr="00C64AE1" w:rsidRDefault="00136134" w:rsidP="00697663">
            <w:pPr>
              <w:widowControl/>
              <w:jc w:val="center"/>
              <w:rPr>
                <w:rFonts w:ascii="Times New Roman" w:eastAsia="楷体" w:hAnsi="Times New Roman"/>
                <w:kern w:val="0"/>
              </w:rPr>
            </w:pPr>
            <w:r w:rsidRPr="00C64AE1">
              <w:rPr>
                <w:rFonts w:ascii="Times New Roman" w:eastAsia="楷体" w:hAnsi="楷体" w:hint="eastAsia"/>
              </w:rPr>
              <w:t>2018</w:t>
            </w:r>
            <w:r w:rsidRPr="00C64AE1">
              <w:rPr>
                <w:rFonts w:ascii="Times New Roman" w:eastAsia="楷体" w:hAnsi="楷体" w:hint="eastAsia"/>
              </w:rPr>
              <w:t>年下跌区间</w:t>
            </w:r>
          </w:p>
        </w:tc>
        <w:tc>
          <w:tcPr>
            <w:tcW w:w="3224" w:type="pct"/>
            <w:gridSpan w:val="4"/>
            <w:tcBorders>
              <w:top w:val="single" w:sz="12" w:space="0" w:color="BE0000"/>
              <w:left w:val="dotted" w:sz="4" w:space="0" w:color="auto"/>
              <w:bottom w:val="dotted" w:sz="4" w:space="0" w:color="BE0000"/>
              <w:right w:val="dotted" w:sz="4" w:space="0" w:color="auto"/>
            </w:tcBorders>
          </w:tcPr>
          <w:p w:rsidR="003F248D" w:rsidRPr="00C64AE1" w:rsidRDefault="003F248D" w:rsidP="00697663">
            <w:pPr>
              <w:jc w:val="center"/>
              <w:rPr>
                <w:rFonts w:ascii="Times New Roman" w:eastAsia="楷体" w:hAnsi="Times New Roman"/>
              </w:rPr>
            </w:pPr>
            <w:r w:rsidRPr="00C64AE1">
              <w:rPr>
                <w:rFonts w:ascii="Times New Roman" w:eastAsia="楷体" w:hAnsi="楷体"/>
              </w:rPr>
              <w:t>下跌区间</w:t>
            </w:r>
            <w:r w:rsidRPr="00C64AE1">
              <w:rPr>
                <w:rFonts w:ascii="Times New Roman" w:eastAsia="楷体" w:hAnsi="Times New Roman" w:hint="eastAsia"/>
              </w:rPr>
              <w:t>2</w:t>
            </w:r>
            <w:r w:rsidRPr="00C64AE1">
              <w:rPr>
                <w:rFonts w:ascii="Times New Roman" w:eastAsia="楷体" w:hAnsi="楷体" w:hint="eastAsia"/>
              </w:rPr>
              <w:t>（</w:t>
            </w:r>
            <w:r w:rsidRPr="00C64AE1">
              <w:rPr>
                <w:rFonts w:ascii="Times New Roman" w:eastAsia="楷体" w:hAnsi="Times New Roman" w:hint="eastAsia"/>
              </w:rPr>
              <w:t>2</w:t>
            </w:r>
            <w:r w:rsidRPr="00C64AE1">
              <w:rPr>
                <w:rFonts w:ascii="Times New Roman" w:eastAsia="楷体" w:hAnsi="Times New Roman"/>
              </w:rPr>
              <w:t>011-04-18</w:t>
            </w:r>
            <w:r w:rsidRPr="00C64AE1">
              <w:rPr>
                <w:rFonts w:ascii="Times New Roman" w:eastAsia="楷体" w:hAnsi="楷体" w:hint="eastAsia"/>
              </w:rPr>
              <w:t>至</w:t>
            </w:r>
            <w:r w:rsidRPr="00C64AE1">
              <w:rPr>
                <w:rFonts w:ascii="Times New Roman" w:eastAsia="楷体" w:hAnsi="Times New Roman"/>
              </w:rPr>
              <w:t>2012-01-05</w:t>
            </w:r>
            <w:r w:rsidRPr="00C64AE1">
              <w:rPr>
                <w:rFonts w:ascii="Times New Roman" w:eastAsia="楷体" w:hAnsi="楷体" w:hint="eastAsia"/>
              </w:rPr>
              <w:t>）</w:t>
            </w:r>
          </w:p>
        </w:tc>
      </w:tr>
      <w:tr w:rsidR="003F248D" w:rsidRPr="00C64AE1" w:rsidTr="00E26028">
        <w:trPr>
          <w:trHeight w:val="213"/>
          <w:tblHeader/>
          <w:jc w:val="right"/>
        </w:trPr>
        <w:tc>
          <w:tcPr>
            <w:tcW w:w="833" w:type="pct"/>
            <w:vMerge/>
            <w:tcBorders>
              <w:left w:val="dotted" w:sz="4" w:space="0" w:color="auto"/>
              <w:bottom w:val="single" w:sz="6" w:space="0" w:color="BE0000"/>
              <w:right w:val="dotted" w:sz="4" w:space="0" w:color="auto"/>
            </w:tcBorders>
          </w:tcPr>
          <w:p w:rsidR="003F248D" w:rsidRPr="00C64AE1" w:rsidRDefault="003F248D" w:rsidP="00697663">
            <w:pPr>
              <w:ind w:left="-104"/>
              <w:jc w:val="center"/>
              <w:rPr>
                <w:rFonts w:ascii="Times New Roman" w:eastAsia="楷体" w:hAnsi="Times New Roman"/>
                <w:b/>
              </w:rPr>
            </w:pPr>
          </w:p>
        </w:tc>
        <w:tc>
          <w:tcPr>
            <w:tcW w:w="943" w:type="pct"/>
            <w:tcBorders>
              <w:top w:val="dotted" w:sz="4" w:space="0" w:color="BE0000"/>
              <w:left w:val="dotted" w:sz="4" w:space="0" w:color="auto"/>
              <w:bottom w:val="single" w:sz="6" w:space="0" w:color="BE0000"/>
              <w:right w:val="dotted" w:sz="4" w:space="0" w:color="auto"/>
            </w:tcBorders>
            <w:vAlign w:val="center"/>
          </w:tcPr>
          <w:p w:rsidR="003F248D" w:rsidRPr="00C64AE1" w:rsidRDefault="003F248D" w:rsidP="00697663">
            <w:pPr>
              <w:widowControl/>
              <w:jc w:val="center"/>
              <w:rPr>
                <w:rFonts w:ascii="Times New Roman" w:eastAsia="楷体" w:hAnsi="Times New Roman"/>
              </w:rPr>
            </w:pPr>
            <w:r w:rsidRPr="00C64AE1">
              <w:rPr>
                <w:rFonts w:ascii="Times New Roman" w:eastAsia="楷体" w:hAnsi="楷体" w:hint="eastAsia"/>
              </w:rPr>
              <w:t>区间表现</w:t>
            </w:r>
          </w:p>
        </w:tc>
        <w:tc>
          <w:tcPr>
            <w:tcW w:w="723" w:type="pct"/>
            <w:tcBorders>
              <w:top w:val="dotted" w:sz="4" w:space="0" w:color="BE0000"/>
              <w:left w:val="dotted" w:sz="4" w:space="0" w:color="auto"/>
              <w:bottom w:val="single" w:sz="4" w:space="0" w:color="BE0000"/>
              <w:right w:val="dotted" w:sz="4" w:space="0" w:color="auto"/>
            </w:tcBorders>
          </w:tcPr>
          <w:p w:rsidR="003F248D" w:rsidRPr="00C64AE1" w:rsidRDefault="003F248D" w:rsidP="00697663">
            <w:pPr>
              <w:widowControl/>
              <w:jc w:val="center"/>
              <w:rPr>
                <w:rFonts w:ascii="Times New Roman" w:eastAsia="楷体" w:hAnsi="Times New Roman"/>
                <w:kern w:val="0"/>
              </w:rPr>
            </w:pPr>
            <w:r w:rsidRPr="00C64AE1">
              <w:rPr>
                <w:rFonts w:ascii="Times New Roman" w:eastAsia="楷体" w:hAnsi="楷体" w:hint="eastAsia"/>
              </w:rPr>
              <w:t>区间表现</w:t>
            </w:r>
          </w:p>
        </w:tc>
        <w:tc>
          <w:tcPr>
            <w:tcW w:w="833" w:type="pct"/>
            <w:tcBorders>
              <w:top w:val="dotted" w:sz="4" w:space="0" w:color="BE0000"/>
              <w:left w:val="dotted" w:sz="4" w:space="0" w:color="auto"/>
              <w:bottom w:val="single" w:sz="4" w:space="0" w:color="BE0000"/>
              <w:right w:val="dotted" w:sz="4" w:space="0" w:color="auto"/>
            </w:tcBorders>
            <w:vAlign w:val="center"/>
          </w:tcPr>
          <w:p w:rsidR="003F248D" w:rsidRPr="00C64AE1" w:rsidRDefault="005563B9" w:rsidP="00697663">
            <w:pPr>
              <w:widowControl/>
              <w:jc w:val="center"/>
              <w:rPr>
                <w:rFonts w:ascii="Times New Roman" w:eastAsia="楷体" w:hAnsi="Times New Roman"/>
              </w:rPr>
            </w:pPr>
            <w:r w:rsidRPr="00C64AE1">
              <w:rPr>
                <w:rFonts w:ascii="Times New Roman" w:eastAsia="楷体" w:hAnsi="楷体" w:hint="eastAsia"/>
              </w:rPr>
              <w:t>之后</w:t>
            </w:r>
            <w:r w:rsidRPr="00C64AE1">
              <w:rPr>
                <w:rFonts w:ascii="Times New Roman" w:eastAsia="楷体" w:hAnsi="Times New Roman" w:hint="eastAsia"/>
              </w:rPr>
              <w:t>1</w:t>
            </w:r>
            <w:r w:rsidRPr="00C64AE1">
              <w:rPr>
                <w:rFonts w:ascii="Times New Roman" w:eastAsia="楷体" w:hAnsi="楷体" w:hint="eastAsia"/>
              </w:rPr>
              <w:t>月</w:t>
            </w:r>
          </w:p>
        </w:tc>
        <w:tc>
          <w:tcPr>
            <w:tcW w:w="833" w:type="pct"/>
            <w:tcBorders>
              <w:top w:val="dotted" w:sz="4" w:space="0" w:color="BE0000"/>
              <w:left w:val="dotted" w:sz="4" w:space="0" w:color="auto"/>
              <w:bottom w:val="single" w:sz="4" w:space="0" w:color="BE0000"/>
              <w:right w:val="dotted" w:sz="4" w:space="0" w:color="auto"/>
            </w:tcBorders>
          </w:tcPr>
          <w:p w:rsidR="003F248D" w:rsidRPr="00C64AE1" w:rsidRDefault="005563B9" w:rsidP="00697663">
            <w:pPr>
              <w:widowControl/>
              <w:jc w:val="center"/>
              <w:rPr>
                <w:rFonts w:ascii="Times New Roman" w:eastAsia="楷体" w:hAnsi="Times New Roman"/>
                <w:kern w:val="0"/>
              </w:rPr>
            </w:pPr>
            <w:r w:rsidRPr="00C64AE1">
              <w:rPr>
                <w:rFonts w:ascii="Times New Roman" w:eastAsia="楷体" w:hAnsi="楷体" w:hint="eastAsia"/>
              </w:rPr>
              <w:t>之后</w:t>
            </w:r>
            <w:r w:rsidRPr="00C64AE1">
              <w:rPr>
                <w:rFonts w:ascii="Times New Roman" w:eastAsia="楷体" w:hAnsi="Times New Roman" w:hint="eastAsia"/>
              </w:rPr>
              <w:t>3</w:t>
            </w:r>
            <w:r w:rsidRPr="00C64AE1">
              <w:rPr>
                <w:rFonts w:ascii="Times New Roman" w:eastAsia="楷体" w:hAnsi="楷体" w:hint="eastAsia"/>
              </w:rPr>
              <w:t>月</w:t>
            </w:r>
          </w:p>
        </w:tc>
        <w:tc>
          <w:tcPr>
            <w:tcW w:w="835" w:type="pct"/>
            <w:tcBorders>
              <w:top w:val="dotted" w:sz="4" w:space="0" w:color="BE0000"/>
              <w:left w:val="dotted" w:sz="4" w:space="0" w:color="auto"/>
              <w:bottom w:val="single" w:sz="4" w:space="0" w:color="BE0000"/>
              <w:right w:val="dotted" w:sz="4" w:space="0" w:color="auto"/>
            </w:tcBorders>
            <w:vAlign w:val="center"/>
          </w:tcPr>
          <w:p w:rsidR="003F248D" w:rsidRPr="00C64AE1" w:rsidRDefault="005563B9" w:rsidP="00697663">
            <w:pPr>
              <w:widowControl/>
              <w:jc w:val="center"/>
              <w:rPr>
                <w:rFonts w:ascii="Times New Roman" w:eastAsia="楷体" w:hAnsi="Times New Roman"/>
              </w:rPr>
            </w:pPr>
            <w:r w:rsidRPr="00C64AE1">
              <w:rPr>
                <w:rFonts w:ascii="Times New Roman" w:eastAsia="楷体" w:hAnsi="楷体" w:hint="eastAsia"/>
              </w:rPr>
              <w:t>之后</w:t>
            </w:r>
            <w:r w:rsidRPr="00C64AE1">
              <w:rPr>
                <w:rFonts w:ascii="Times New Roman" w:eastAsia="楷体" w:hAnsi="Times New Roman" w:hint="eastAsia"/>
              </w:rPr>
              <w:t>6</w:t>
            </w:r>
            <w:r w:rsidRPr="00C64AE1">
              <w:rPr>
                <w:rFonts w:ascii="Times New Roman" w:eastAsia="楷体" w:hAnsi="楷体" w:hint="eastAsia"/>
              </w:rPr>
              <w:t>月</w:t>
            </w:r>
          </w:p>
        </w:tc>
      </w:tr>
      <w:tr w:rsidR="003F248D" w:rsidRPr="00C64AE1" w:rsidTr="00237667">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517540">
            <w:pPr>
              <w:widowControl/>
              <w:jc w:val="center"/>
              <w:rPr>
                <w:rFonts w:ascii="Times New Roman" w:eastAsia="楷体" w:hAnsi="Times New Roman"/>
                <w:kern w:val="0"/>
              </w:rPr>
            </w:pPr>
            <w:r w:rsidRPr="00C64AE1">
              <w:rPr>
                <w:rFonts w:ascii="Times New Roman" w:eastAsia="楷体" w:hAnsi="楷体" w:hint="eastAsia"/>
              </w:rPr>
              <w:t>规模</w:t>
            </w:r>
          </w:p>
        </w:tc>
        <w:tc>
          <w:tcPr>
            <w:tcW w:w="94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widowControl/>
              <w:jc w:val="center"/>
              <w:rPr>
                <w:rFonts w:ascii="Times New Roman" w:eastAsia="楷体" w:hAnsi="Times New Roman"/>
                <w:kern w:val="0"/>
              </w:rPr>
            </w:pPr>
            <w:r w:rsidRPr="00C64AE1">
              <w:rPr>
                <w:rFonts w:ascii="Times New Roman" w:eastAsia="楷体" w:hAnsi="Times New Roman" w:hint="eastAsia"/>
              </w:rPr>
              <w:t>3.24%</w:t>
            </w:r>
          </w:p>
        </w:tc>
        <w:tc>
          <w:tcPr>
            <w:tcW w:w="723" w:type="pct"/>
            <w:tcBorders>
              <w:top w:val="single" w:sz="4" w:space="0" w:color="BE0000"/>
              <w:left w:val="dotted" w:sz="4" w:space="0" w:color="auto"/>
              <w:bottom w:val="dotted" w:sz="4" w:space="0" w:color="auto"/>
              <w:right w:val="dotted" w:sz="4" w:space="0" w:color="auto"/>
            </w:tcBorders>
            <w:vAlign w:val="center"/>
          </w:tcPr>
          <w:p w:rsidR="003F248D" w:rsidRPr="00C64AE1" w:rsidRDefault="003F248D" w:rsidP="00BF750B">
            <w:pPr>
              <w:widowControl/>
              <w:jc w:val="center"/>
              <w:rPr>
                <w:rFonts w:ascii="Times New Roman" w:eastAsia="楷体" w:hAnsi="Times New Roman"/>
                <w:kern w:val="0"/>
              </w:rPr>
            </w:pPr>
            <w:r w:rsidRPr="00C64AE1">
              <w:rPr>
                <w:rFonts w:ascii="Times New Roman" w:eastAsia="楷体" w:hAnsi="Times New Roman" w:hint="eastAsia"/>
              </w:rPr>
              <w:t>-1.70%</w:t>
            </w:r>
          </w:p>
        </w:tc>
        <w:tc>
          <w:tcPr>
            <w:tcW w:w="833" w:type="pct"/>
            <w:tcBorders>
              <w:top w:val="single" w:sz="4" w:space="0" w:color="BE0000"/>
              <w:left w:val="dotted" w:sz="4" w:space="0" w:color="auto"/>
              <w:bottom w:val="dotted" w:sz="4" w:space="0" w:color="auto"/>
              <w:right w:val="dotted" w:sz="4" w:space="0" w:color="auto"/>
            </w:tcBorders>
            <w:vAlign w:val="center"/>
          </w:tcPr>
          <w:p w:rsidR="003F248D" w:rsidRPr="00C64AE1" w:rsidRDefault="003F248D" w:rsidP="00BF750B">
            <w:pPr>
              <w:widowControl/>
              <w:jc w:val="center"/>
              <w:rPr>
                <w:rFonts w:ascii="Times New Roman" w:eastAsia="楷体" w:hAnsi="Times New Roman"/>
                <w:kern w:val="0"/>
              </w:rPr>
            </w:pPr>
            <w:r w:rsidRPr="00C64AE1">
              <w:rPr>
                <w:rFonts w:ascii="Times New Roman" w:eastAsia="楷体" w:hAnsi="Times New Roman" w:hint="eastAsia"/>
              </w:rPr>
              <w:t>3.26%</w:t>
            </w:r>
          </w:p>
        </w:tc>
        <w:tc>
          <w:tcPr>
            <w:tcW w:w="833" w:type="pct"/>
            <w:tcBorders>
              <w:top w:val="single" w:sz="4" w:space="0" w:color="BE0000"/>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8.27%</w:t>
            </w:r>
          </w:p>
        </w:tc>
        <w:tc>
          <w:tcPr>
            <w:tcW w:w="835" w:type="pct"/>
            <w:tcBorders>
              <w:top w:val="single" w:sz="4" w:space="0" w:color="BE0000"/>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14.09%</w:t>
            </w:r>
          </w:p>
        </w:tc>
      </w:tr>
      <w:tr w:rsidR="003F248D" w:rsidRPr="00C64AE1" w:rsidTr="00237667">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517540">
            <w:pPr>
              <w:jc w:val="center"/>
              <w:rPr>
                <w:rFonts w:ascii="Times New Roman" w:eastAsia="楷体" w:hAnsi="Times New Roman"/>
              </w:rPr>
            </w:pPr>
            <w:r w:rsidRPr="00C64AE1">
              <w:rPr>
                <w:rFonts w:ascii="Times New Roman" w:eastAsia="楷体" w:hAnsi="楷体" w:hint="eastAsia"/>
              </w:rPr>
              <w:t>估值</w:t>
            </w:r>
          </w:p>
        </w:tc>
        <w:tc>
          <w:tcPr>
            <w:tcW w:w="94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6.04%</w:t>
            </w:r>
          </w:p>
        </w:tc>
        <w:tc>
          <w:tcPr>
            <w:tcW w:w="72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3.90%</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4.14%</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2.57%</w:t>
            </w:r>
          </w:p>
        </w:tc>
        <w:tc>
          <w:tcPr>
            <w:tcW w:w="835"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3.35%</w:t>
            </w:r>
          </w:p>
        </w:tc>
      </w:tr>
      <w:tr w:rsidR="003F248D" w:rsidRPr="00C64AE1" w:rsidTr="00237667">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517540">
            <w:pPr>
              <w:jc w:val="center"/>
              <w:rPr>
                <w:rFonts w:ascii="Times New Roman" w:eastAsia="楷体" w:hAnsi="Times New Roman"/>
              </w:rPr>
            </w:pPr>
            <w:r w:rsidRPr="00C64AE1">
              <w:rPr>
                <w:rFonts w:ascii="Times New Roman" w:eastAsia="楷体" w:hAnsi="楷体" w:hint="eastAsia"/>
              </w:rPr>
              <w:t>盈利</w:t>
            </w:r>
          </w:p>
        </w:tc>
        <w:tc>
          <w:tcPr>
            <w:tcW w:w="94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15.53%</w:t>
            </w:r>
          </w:p>
        </w:tc>
        <w:tc>
          <w:tcPr>
            <w:tcW w:w="72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22.82%</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-5.10%</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-2.56%</w:t>
            </w:r>
          </w:p>
        </w:tc>
        <w:tc>
          <w:tcPr>
            <w:tcW w:w="835"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4.54%</w:t>
            </w:r>
          </w:p>
        </w:tc>
      </w:tr>
      <w:tr w:rsidR="003F248D" w:rsidRPr="00C64AE1" w:rsidTr="00482FE2">
        <w:trPr>
          <w:trHeight w:val="300"/>
          <w:jc w:val="right"/>
        </w:trPr>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517540">
            <w:pPr>
              <w:jc w:val="center"/>
              <w:rPr>
                <w:rFonts w:ascii="Times New Roman" w:eastAsia="楷体" w:hAnsi="Times New Roman"/>
              </w:rPr>
            </w:pPr>
            <w:r w:rsidRPr="00C64AE1">
              <w:rPr>
                <w:rFonts w:ascii="Times New Roman" w:eastAsia="楷体" w:hAnsi="Times New Roman" w:hint="eastAsia"/>
              </w:rPr>
              <w:t>成长</w:t>
            </w:r>
          </w:p>
        </w:tc>
        <w:tc>
          <w:tcPr>
            <w:tcW w:w="94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9.76%</w:t>
            </w:r>
          </w:p>
        </w:tc>
        <w:tc>
          <w:tcPr>
            <w:tcW w:w="72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12.29%</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-0.62%</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2.04%</w:t>
            </w:r>
          </w:p>
        </w:tc>
        <w:tc>
          <w:tcPr>
            <w:tcW w:w="835"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13.32%</w:t>
            </w:r>
          </w:p>
        </w:tc>
      </w:tr>
      <w:tr w:rsidR="003F248D" w:rsidRPr="00C64AE1" w:rsidTr="00237667">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517540">
            <w:pPr>
              <w:jc w:val="center"/>
              <w:rPr>
                <w:rFonts w:ascii="Times New Roman" w:eastAsia="楷体" w:hAnsi="Times New Roman"/>
              </w:rPr>
            </w:pPr>
            <w:r w:rsidRPr="00C64AE1">
              <w:rPr>
                <w:rFonts w:ascii="Times New Roman" w:eastAsia="楷体" w:hAnsi="Times New Roman" w:hint="eastAsia"/>
              </w:rPr>
              <w:t>营运</w:t>
            </w:r>
          </w:p>
        </w:tc>
        <w:tc>
          <w:tcPr>
            <w:tcW w:w="94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3.89%</w:t>
            </w:r>
          </w:p>
        </w:tc>
        <w:tc>
          <w:tcPr>
            <w:tcW w:w="72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7.36%</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-6.93%</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-6.92%</w:t>
            </w:r>
          </w:p>
        </w:tc>
        <w:tc>
          <w:tcPr>
            <w:tcW w:w="835"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-2.83%</w:t>
            </w:r>
          </w:p>
        </w:tc>
      </w:tr>
      <w:tr w:rsidR="003F248D" w:rsidRPr="00C64AE1" w:rsidTr="00237667">
        <w:trPr>
          <w:trHeight w:val="240"/>
          <w:jc w:val="right"/>
        </w:trPr>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517540">
            <w:pPr>
              <w:jc w:val="center"/>
              <w:rPr>
                <w:rFonts w:ascii="Times New Roman" w:eastAsia="楷体" w:hAnsi="Times New Roman"/>
              </w:rPr>
            </w:pPr>
            <w:r w:rsidRPr="00C64AE1">
              <w:rPr>
                <w:rFonts w:ascii="Times New Roman" w:eastAsia="楷体" w:hAnsi="Times New Roman" w:hint="eastAsia"/>
              </w:rPr>
              <w:t>反转</w:t>
            </w:r>
          </w:p>
        </w:tc>
        <w:tc>
          <w:tcPr>
            <w:tcW w:w="94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8.76%</w:t>
            </w:r>
          </w:p>
        </w:tc>
        <w:tc>
          <w:tcPr>
            <w:tcW w:w="72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11.15%</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14.67%</w:t>
            </w:r>
          </w:p>
        </w:tc>
        <w:tc>
          <w:tcPr>
            <w:tcW w:w="833"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20.23%</w:t>
            </w:r>
          </w:p>
        </w:tc>
        <w:tc>
          <w:tcPr>
            <w:tcW w:w="835" w:type="pct"/>
            <w:tcBorders>
              <w:top w:val="dotted" w:sz="4" w:space="0" w:color="auto"/>
              <w:left w:val="dotted" w:sz="4" w:space="0" w:color="auto"/>
              <w:bottom w:val="dotted" w:sz="4" w:space="0" w:color="auto"/>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22.18%</w:t>
            </w:r>
          </w:p>
        </w:tc>
      </w:tr>
      <w:tr w:rsidR="003F248D" w:rsidRPr="00C64AE1" w:rsidTr="00C50331">
        <w:trPr>
          <w:trHeight w:val="301"/>
          <w:jc w:val="right"/>
        </w:trPr>
        <w:tc>
          <w:tcPr>
            <w:tcW w:w="833"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517540">
            <w:pPr>
              <w:jc w:val="center"/>
              <w:rPr>
                <w:rFonts w:ascii="Times New Roman" w:eastAsia="楷体" w:hAnsi="Times New Roman"/>
              </w:rPr>
            </w:pPr>
            <w:r w:rsidRPr="00C64AE1">
              <w:rPr>
                <w:rFonts w:ascii="Times New Roman" w:eastAsia="楷体" w:hAnsi="楷体" w:hint="eastAsia"/>
              </w:rPr>
              <w:t>流动性</w:t>
            </w:r>
          </w:p>
        </w:tc>
        <w:tc>
          <w:tcPr>
            <w:tcW w:w="943"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14.08%</w:t>
            </w:r>
          </w:p>
        </w:tc>
        <w:tc>
          <w:tcPr>
            <w:tcW w:w="723"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22.94%</w:t>
            </w:r>
          </w:p>
        </w:tc>
        <w:tc>
          <w:tcPr>
            <w:tcW w:w="833"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-0.66%</w:t>
            </w:r>
          </w:p>
        </w:tc>
        <w:tc>
          <w:tcPr>
            <w:tcW w:w="833"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4.30%</w:t>
            </w:r>
          </w:p>
        </w:tc>
        <w:tc>
          <w:tcPr>
            <w:tcW w:w="835"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11.33%</w:t>
            </w:r>
          </w:p>
        </w:tc>
      </w:tr>
      <w:tr w:rsidR="003F248D" w:rsidRPr="00C64AE1" w:rsidTr="00237667">
        <w:trPr>
          <w:trHeight w:val="240"/>
          <w:jc w:val="right"/>
        </w:trPr>
        <w:tc>
          <w:tcPr>
            <w:tcW w:w="833"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517540">
            <w:pPr>
              <w:jc w:val="center"/>
              <w:rPr>
                <w:rFonts w:ascii="Times New Roman" w:eastAsia="楷体" w:hAnsi="Times New Roman"/>
              </w:rPr>
            </w:pPr>
            <w:r w:rsidRPr="00C64AE1">
              <w:rPr>
                <w:rFonts w:ascii="Times New Roman" w:eastAsia="楷体" w:hAnsi="楷体" w:hint="eastAsia"/>
              </w:rPr>
              <w:lastRenderedPageBreak/>
              <w:t>波动率</w:t>
            </w:r>
          </w:p>
        </w:tc>
        <w:tc>
          <w:tcPr>
            <w:tcW w:w="943"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15.56%</w:t>
            </w:r>
          </w:p>
        </w:tc>
        <w:tc>
          <w:tcPr>
            <w:tcW w:w="723"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18.38%</w:t>
            </w:r>
          </w:p>
        </w:tc>
        <w:tc>
          <w:tcPr>
            <w:tcW w:w="833"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-1.25%</w:t>
            </w:r>
          </w:p>
        </w:tc>
        <w:tc>
          <w:tcPr>
            <w:tcW w:w="833"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1.64%</w:t>
            </w:r>
          </w:p>
        </w:tc>
        <w:tc>
          <w:tcPr>
            <w:tcW w:w="835" w:type="pct"/>
            <w:tcBorders>
              <w:top w:val="dotted" w:sz="4" w:space="0" w:color="auto"/>
              <w:left w:val="dotted" w:sz="4" w:space="0" w:color="auto"/>
              <w:bottom w:val="single" w:sz="12" w:space="0" w:color="C00000"/>
              <w:right w:val="dotted" w:sz="4" w:space="0" w:color="auto"/>
            </w:tcBorders>
            <w:vAlign w:val="center"/>
          </w:tcPr>
          <w:p w:rsidR="003F248D" w:rsidRPr="00C64AE1" w:rsidRDefault="003F248D" w:rsidP="00BF750B">
            <w:pPr>
              <w:jc w:val="center"/>
              <w:rPr>
                <w:rFonts w:ascii="Times New Roman" w:eastAsia="楷体" w:hAnsi="Times New Roman"/>
              </w:rPr>
            </w:pPr>
            <w:r w:rsidRPr="00C64AE1">
              <w:rPr>
                <w:rFonts w:ascii="Times New Roman" w:eastAsia="楷体" w:hAnsi="Times New Roman" w:hint="eastAsia"/>
              </w:rPr>
              <w:t>7.40%</w:t>
            </w:r>
          </w:p>
        </w:tc>
      </w:tr>
    </w:tbl>
    <w:p w:rsidR="003F248D" w:rsidRPr="00C64AE1" w:rsidRDefault="003F248D" w:rsidP="00237667">
      <w:pPr>
        <w:rPr>
          <w:rFonts w:ascii="楷体" w:eastAsia="楷体" w:hAnsi="楷体"/>
          <w:sz w:val="20"/>
          <w:szCs w:val="20"/>
        </w:rPr>
      </w:pPr>
      <w:r w:rsidRPr="00C64AE1">
        <w:rPr>
          <w:rFonts w:ascii="楷体" w:eastAsia="楷体" w:hAnsi="楷体" w:cs="Arial" w:hint="eastAsia"/>
          <w:sz w:val="20"/>
          <w:szCs w:val="20"/>
        </w:rPr>
        <w:t>资料来源：Wind，中山证券研究所</w:t>
      </w:r>
    </w:p>
    <w:p w:rsidR="003F248D" w:rsidRPr="00C64AE1" w:rsidRDefault="003F248D" w:rsidP="008F3CB1">
      <w:pPr>
        <w:pStyle w:val="af2"/>
        <w:spacing w:after="156" w:line="60" w:lineRule="exact"/>
        <w:ind w:leftChars="1215" w:left="2551" w:firstLineChars="0" w:firstLine="0"/>
        <w:rPr>
          <w:rFonts w:ascii="楷体" w:eastAsia="楷体" w:hAnsi="楷体"/>
        </w:rPr>
      </w:pPr>
    </w:p>
    <w:p w:rsidR="00C37743" w:rsidRPr="00C64AE1" w:rsidRDefault="00D762ED"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结合大类因子相对中证500</w:t>
      </w:r>
      <w:r w:rsidR="00B14290" w:rsidRPr="00C64AE1">
        <w:rPr>
          <w:rFonts w:ascii="楷体" w:eastAsia="楷体" w:hAnsi="楷体" w:cs="Times New Roman" w:hint="eastAsia"/>
        </w:rPr>
        <w:t>收益发现，</w:t>
      </w:r>
      <w:r w:rsidR="00C37743" w:rsidRPr="00C64AE1">
        <w:rPr>
          <w:rFonts w:ascii="楷体" w:eastAsia="楷体" w:hAnsi="楷体" w:cs="Times New Roman" w:hint="eastAsia"/>
        </w:rPr>
        <w:t>下跌区间</w:t>
      </w:r>
      <w:r w:rsidR="00B14290" w:rsidRPr="00C64AE1">
        <w:rPr>
          <w:rFonts w:ascii="楷体" w:eastAsia="楷体" w:hAnsi="楷体" w:cs="Times New Roman" w:hint="eastAsia"/>
        </w:rPr>
        <w:t>未来的1-6个月内，</w:t>
      </w:r>
      <w:r w:rsidR="009251CC" w:rsidRPr="00C64AE1">
        <w:rPr>
          <w:rFonts w:ascii="楷体" w:eastAsia="楷体" w:hAnsi="楷体" w:cs="Times New Roman" w:hint="eastAsia"/>
        </w:rPr>
        <w:t>规模、成长与反转因子表现相对较好，</w:t>
      </w:r>
      <w:r w:rsidR="009251CC" w:rsidRPr="00C64AE1">
        <w:rPr>
          <w:rFonts w:ascii="Times New Roman" w:eastAsia="楷体" w:hAnsi="Times New Roman" w:hint="eastAsia"/>
        </w:rPr>
        <w:t>2</w:t>
      </w:r>
      <w:r w:rsidR="009251CC" w:rsidRPr="00C64AE1">
        <w:rPr>
          <w:rFonts w:ascii="Times New Roman" w:eastAsia="楷体" w:hAnsi="Times New Roman"/>
        </w:rPr>
        <w:t>011-04-18</w:t>
      </w:r>
      <w:r w:rsidR="009251CC" w:rsidRPr="00C64AE1">
        <w:rPr>
          <w:rFonts w:ascii="Times New Roman" w:eastAsia="楷体" w:hAnsi="楷体" w:hint="eastAsia"/>
        </w:rPr>
        <w:t>至</w:t>
      </w:r>
      <w:r w:rsidR="009251CC" w:rsidRPr="00C64AE1">
        <w:rPr>
          <w:rFonts w:ascii="Times New Roman" w:eastAsia="楷体" w:hAnsi="Times New Roman"/>
        </w:rPr>
        <w:t>2012-01-05</w:t>
      </w:r>
      <w:r w:rsidR="009251CC" w:rsidRPr="00C64AE1">
        <w:rPr>
          <w:rFonts w:ascii="Times New Roman" w:eastAsia="楷体" w:hAnsi="Times New Roman" w:hint="eastAsia"/>
        </w:rPr>
        <w:t>之后的</w:t>
      </w:r>
      <w:r w:rsidR="009251CC" w:rsidRPr="00C64AE1">
        <w:rPr>
          <w:rFonts w:ascii="Times New Roman" w:eastAsia="楷体" w:hAnsi="Times New Roman" w:hint="eastAsia"/>
        </w:rPr>
        <w:t>6</w:t>
      </w:r>
      <w:r w:rsidR="009251CC" w:rsidRPr="00C64AE1">
        <w:rPr>
          <w:rFonts w:ascii="Times New Roman" w:eastAsia="楷体" w:hAnsi="Times New Roman" w:hint="eastAsia"/>
        </w:rPr>
        <w:t>个月内的多空收益超</w:t>
      </w:r>
      <w:r w:rsidR="009251CC" w:rsidRPr="00C64AE1">
        <w:rPr>
          <w:rFonts w:ascii="Times New Roman" w:eastAsia="楷体" w:hAnsi="Times New Roman" w:hint="eastAsia"/>
        </w:rPr>
        <w:t>13%</w:t>
      </w:r>
      <w:r w:rsidR="009251CC" w:rsidRPr="00C64AE1">
        <w:rPr>
          <w:rFonts w:ascii="Times New Roman" w:eastAsia="楷体" w:hAnsi="Times New Roman" w:hint="eastAsia"/>
        </w:rPr>
        <w:t>，</w:t>
      </w:r>
      <w:r w:rsidR="00203BB7" w:rsidRPr="00C64AE1">
        <w:rPr>
          <w:rFonts w:ascii="楷体" w:eastAsia="楷体" w:hAnsi="楷体" w:cs="Times New Roman" w:hint="eastAsia"/>
        </w:rPr>
        <w:t>相对而言，</w:t>
      </w:r>
      <w:r w:rsidR="009251CC" w:rsidRPr="00C64AE1">
        <w:rPr>
          <w:rFonts w:ascii="楷体" w:eastAsia="楷体" w:hAnsi="楷体" w:cs="Times New Roman" w:hint="eastAsia"/>
        </w:rPr>
        <w:t>反转因子</w:t>
      </w:r>
      <w:r w:rsidR="00D96F3B" w:rsidRPr="00C64AE1">
        <w:rPr>
          <w:rFonts w:ascii="楷体" w:eastAsia="楷体" w:hAnsi="楷体" w:cs="Times New Roman" w:hint="eastAsia"/>
        </w:rPr>
        <w:t>多空收益</w:t>
      </w:r>
      <w:r w:rsidR="009251CC" w:rsidRPr="00C64AE1">
        <w:rPr>
          <w:rFonts w:ascii="楷体" w:eastAsia="楷体" w:hAnsi="楷体" w:cs="Times New Roman" w:hint="eastAsia"/>
        </w:rPr>
        <w:t>强于成长、规模因子。</w:t>
      </w:r>
    </w:p>
    <w:p w:rsidR="00DF3C68" w:rsidRPr="00C64AE1" w:rsidRDefault="00DF3C68" w:rsidP="00446770">
      <w:pPr>
        <w:widowControl/>
        <w:spacing w:beforeLines="50" w:line="360" w:lineRule="auto"/>
        <w:ind w:leftChars="1200" w:left="2821" w:hangingChars="100" w:hanging="301"/>
        <w:outlineLvl w:val="0"/>
        <w:rPr>
          <w:rFonts w:ascii="楷体" w:eastAsia="楷体" w:hAnsi="楷体" w:cs="Times New Roman"/>
          <w:b/>
          <w:sz w:val="30"/>
        </w:rPr>
      </w:pPr>
      <w:bookmarkStart w:id="35" w:name="_Toc531856913"/>
      <w:r w:rsidRPr="00C64AE1">
        <w:rPr>
          <w:rFonts w:ascii="楷体" w:eastAsia="楷体" w:hAnsi="楷体" w:cs="Times New Roman" w:hint="eastAsia"/>
          <w:b/>
          <w:sz w:val="30"/>
        </w:rPr>
        <w:t>3、2019年市场展望与可能的机会</w:t>
      </w:r>
      <w:bookmarkEnd w:id="35"/>
    </w:p>
    <w:p w:rsidR="00EC4368" w:rsidRPr="00C64AE1" w:rsidRDefault="00EC4368" w:rsidP="00EC4368">
      <w:pPr>
        <w:widowControl/>
        <w:numPr>
          <w:ilvl w:val="1"/>
          <w:numId w:val="0"/>
        </w:numPr>
        <w:spacing w:line="360" w:lineRule="auto"/>
        <w:ind w:leftChars="1200" w:left="3026" w:hangingChars="180" w:hanging="506"/>
        <w:outlineLvl w:val="1"/>
        <w:rPr>
          <w:rFonts w:ascii="楷体" w:eastAsia="楷体" w:hAnsi="楷体" w:cs="Times New Roman"/>
          <w:b/>
          <w:sz w:val="28"/>
        </w:rPr>
      </w:pPr>
      <w:bookmarkStart w:id="36" w:name="_Toc531856914"/>
      <w:r w:rsidRPr="00C64AE1">
        <w:rPr>
          <w:rFonts w:ascii="楷体" w:eastAsia="楷体" w:hAnsi="楷体" w:cs="Times New Roman" w:hint="eastAsia"/>
          <w:b/>
          <w:sz w:val="28"/>
        </w:rPr>
        <w:t>3.1 资金情绪面的市场大势判断</w:t>
      </w:r>
      <w:bookmarkEnd w:id="36"/>
    </w:p>
    <w:p w:rsidR="00DF3C68" w:rsidRPr="00C64AE1" w:rsidRDefault="00021A79"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正如前所述，</w:t>
      </w:r>
      <w:r w:rsidR="008A752D" w:rsidRPr="00C64AE1">
        <w:rPr>
          <w:rFonts w:ascii="楷体" w:eastAsia="楷体" w:hAnsi="楷体" w:cs="Times New Roman" w:hint="eastAsia"/>
        </w:rPr>
        <w:t>2018年以来，</w:t>
      </w:r>
      <w:r w:rsidR="006D4254" w:rsidRPr="00C64AE1">
        <w:rPr>
          <w:rFonts w:ascii="楷体" w:eastAsia="楷体" w:hAnsi="楷体" w:cs="Times New Roman" w:hint="eastAsia"/>
        </w:rPr>
        <w:t>股指全面震荡下行，</w:t>
      </w:r>
      <w:r w:rsidR="00D50AE9" w:rsidRPr="00C64AE1">
        <w:rPr>
          <w:rFonts w:ascii="楷体" w:eastAsia="楷体" w:hAnsi="楷体" w:cs="Times New Roman" w:hint="eastAsia"/>
        </w:rPr>
        <w:t>后市反弹动能不足，</w:t>
      </w:r>
      <w:r w:rsidR="006D4254" w:rsidRPr="00C64AE1">
        <w:rPr>
          <w:rFonts w:ascii="楷体" w:eastAsia="楷体" w:hAnsi="楷体" w:cs="Times New Roman" w:hint="eastAsia"/>
        </w:rPr>
        <w:t>融资融</w:t>
      </w:r>
      <w:r w:rsidR="00D50AE9" w:rsidRPr="00C64AE1">
        <w:rPr>
          <w:rFonts w:ascii="楷体" w:eastAsia="楷体" w:hAnsi="楷体" w:cs="Times New Roman" w:hint="eastAsia"/>
        </w:rPr>
        <w:t>券</w:t>
      </w:r>
      <w:r w:rsidR="006D4254" w:rsidRPr="00C64AE1">
        <w:rPr>
          <w:rFonts w:ascii="楷体" w:eastAsia="楷体" w:hAnsi="楷体" w:cs="Times New Roman" w:hint="eastAsia"/>
        </w:rPr>
        <w:t>趋势性</w:t>
      </w:r>
      <w:r w:rsidR="00D50AE9" w:rsidRPr="00C64AE1">
        <w:rPr>
          <w:rFonts w:ascii="楷体" w:eastAsia="楷体" w:hAnsi="楷体" w:cs="Times New Roman" w:hint="eastAsia"/>
        </w:rPr>
        <w:t>下行、大股质押市值与疑似触及平仓线规模持续高压</w:t>
      </w:r>
      <w:r w:rsidR="006D4254" w:rsidRPr="00C64AE1">
        <w:rPr>
          <w:rFonts w:ascii="楷体" w:eastAsia="楷体" w:hAnsi="楷体" w:cs="Times New Roman" w:hint="eastAsia"/>
        </w:rPr>
        <w:t>，</w:t>
      </w:r>
      <w:r w:rsidR="004711F7" w:rsidRPr="00C64AE1">
        <w:rPr>
          <w:rFonts w:ascii="楷体" w:eastAsia="楷体" w:hAnsi="楷体" w:cs="Times New Roman" w:hint="eastAsia"/>
        </w:rPr>
        <w:t>解禁市值高企、</w:t>
      </w:r>
      <w:r w:rsidR="006D4254" w:rsidRPr="00C64AE1">
        <w:rPr>
          <w:rFonts w:ascii="楷体" w:eastAsia="楷体" w:hAnsi="楷体" w:cs="Times New Roman" w:hint="eastAsia"/>
        </w:rPr>
        <w:t>成交量逐步下行</w:t>
      </w:r>
      <w:r w:rsidR="00D50AE9" w:rsidRPr="00C64AE1">
        <w:rPr>
          <w:rFonts w:ascii="楷体" w:eastAsia="楷体" w:hAnsi="楷体" w:cs="Times New Roman" w:hint="eastAsia"/>
        </w:rPr>
        <w:t>且趋势弱化，底部</w:t>
      </w:r>
      <w:r w:rsidR="002627C1" w:rsidRPr="00C64AE1">
        <w:rPr>
          <w:rFonts w:ascii="楷体" w:eastAsia="楷体" w:hAnsi="楷体" w:cs="Times New Roman" w:hint="eastAsia"/>
        </w:rPr>
        <w:t>缩量</w:t>
      </w:r>
      <w:r w:rsidR="00D50AE9" w:rsidRPr="00C64AE1">
        <w:rPr>
          <w:rFonts w:ascii="楷体" w:eastAsia="楷体" w:hAnsi="楷体" w:cs="Times New Roman" w:hint="eastAsia"/>
        </w:rPr>
        <w:t>震荡</w:t>
      </w:r>
      <w:r w:rsidR="002627C1" w:rsidRPr="00C64AE1">
        <w:rPr>
          <w:rFonts w:ascii="楷体" w:eastAsia="楷体" w:hAnsi="楷体" w:cs="Times New Roman" w:hint="eastAsia"/>
        </w:rPr>
        <w:t>格局延续，</w:t>
      </w:r>
      <w:r w:rsidR="00D50AE9" w:rsidRPr="00C64AE1">
        <w:rPr>
          <w:rFonts w:ascii="楷体" w:eastAsia="楷体" w:hAnsi="楷体" w:cs="Times New Roman" w:hint="eastAsia"/>
        </w:rPr>
        <w:t>市场</w:t>
      </w:r>
      <w:r w:rsidR="002627C1" w:rsidRPr="00C64AE1">
        <w:rPr>
          <w:rFonts w:ascii="楷体" w:eastAsia="楷体" w:hAnsi="楷体" w:cs="Times New Roman" w:hint="eastAsia"/>
        </w:rPr>
        <w:t>活跃度与</w:t>
      </w:r>
      <w:r w:rsidR="00D50AE9" w:rsidRPr="00C64AE1">
        <w:rPr>
          <w:rFonts w:ascii="楷体" w:eastAsia="楷体" w:hAnsi="楷体" w:cs="Times New Roman" w:hint="eastAsia"/>
        </w:rPr>
        <w:t>信心</w:t>
      </w:r>
      <w:r w:rsidR="002627C1" w:rsidRPr="00C64AE1">
        <w:rPr>
          <w:rFonts w:ascii="楷体" w:eastAsia="楷体" w:hAnsi="楷体" w:cs="Times New Roman" w:hint="eastAsia"/>
        </w:rPr>
        <w:t>不足</w:t>
      </w:r>
      <w:r w:rsidR="00D50AE9" w:rsidRPr="00C64AE1">
        <w:rPr>
          <w:rFonts w:ascii="楷体" w:eastAsia="楷体" w:hAnsi="楷体" w:cs="Times New Roman" w:hint="eastAsia"/>
        </w:rPr>
        <w:t>打压股指，导致股指反弹动能不足，预期股指总体上维持箱体震荡偏空的趋势。</w:t>
      </w:r>
    </w:p>
    <w:p w:rsidR="00D50AE9" w:rsidRPr="00C64AE1" w:rsidRDefault="00D50AE9"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资金流</w:t>
      </w:r>
      <w:r w:rsidR="00223AC0" w:rsidRPr="00C64AE1">
        <w:rPr>
          <w:rFonts w:ascii="楷体" w:eastAsia="楷体" w:hAnsi="楷体" w:cs="Times New Roman" w:hint="eastAsia"/>
        </w:rPr>
        <w:t>方面，</w:t>
      </w:r>
      <w:r w:rsidR="00BB6A0E" w:rsidRPr="00C64AE1">
        <w:rPr>
          <w:rFonts w:ascii="楷体" w:eastAsia="楷体" w:hAnsi="楷体" w:cs="Times New Roman" w:hint="eastAsia"/>
        </w:rPr>
        <w:t>沪深两市主力资金持续净流出，</w:t>
      </w:r>
      <w:r w:rsidR="00620C40" w:rsidRPr="00C64AE1">
        <w:rPr>
          <w:rFonts w:ascii="楷体" w:eastAsia="楷体" w:hAnsi="楷体" w:cs="Times New Roman" w:hint="eastAsia"/>
        </w:rPr>
        <w:t>大单、超大单持续外流，仅有小单资金呈缩量入流状态，沪深两市新鲜“血液”呈现尾部特征，</w:t>
      </w:r>
      <w:r w:rsidR="00BB6A0E" w:rsidRPr="00C64AE1">
        <w:rPr>
          <w:rFonts w:ascii="楷体" w:eastAsia="楷体" w:hAnsi="楷体" w:cs="Times New Roman" w:hint="eastAsia"/>
        </w:rPr>
        <w:t>北上资金存量稳中有升，增量资金增速放缓</w:t>
      </w:r>
      <w:r w:rsidR="008121EA" w:rsidRPr="00C64AE1">
        <w:rPr>
          <w:rFonts w:ascii="楷体" w:eastAsia="楷体" w:hAnsi="楷体" w:cs="Times New Roman" w:hint="eastAsia"/>
        </w:rPr>
        <w:t>。整体而言，沪深两市资金出现边际流入明显缩减的态势，沪深两市步入缩量博弈阶段，资金流方面的反弹动能边际弱化。</w:t>
      </w:r>
    </w:p>
    <w:p w:rsidR="008121EA" w:rsidRPr="00C64AE1" w:rsidRDefault="008121EA"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市场信心方面，</w:t>
      </w:r>
      <w:r w:rsidR="00CF6789" w:rsidRPr="00C64AE1">
        <w:rPr>
          <w:rFonts w:ascii="楷体" w:eastAsia="楷体" w:hAnsi="楷体" w:cs="Times New Roman" w:hint="eastAsia"/>
        </w:rPr>
        <w:t>卖方分析师推荐指数步入厚尾阶段，基金经理</w:t>
      </w:r>
      <w:r w:rsidR="00626BA4" w:rsidRPr="00C64AE1">
        <w:rPr>
          <w:rFonts w:ascii="楷体" w:eastAsia="楷体" w:hAnsi="楷体" w:cs="Times New Roman" w:hint="eastAsia"/>
        </w:rPr>
        <w:t>持仓</w:t>
      </w:r>
      <w:r w:rsidR="00CF6789" w:rsidRPr="00C64AE1">
        <w:rPr>
          <w:rFonts w:ascii="楷体" w:eastAsia="楷体" w:hAnsi="楷体" w:cs="Times New Roman" w:hint="eastAsia"/>
        </w:rPr>
        <w:t>仓位趋势性下行，悲观预期显著。在风格偏好与资金的行业配置方面，</w:t>
      </w:r>
      <w:r w:rsidR="007547CC" w:rsidRPr="00C64AE1">
        <w:rPr>
          <w:rFonts w:ascii="楷体" w:eastAsia="楷体" w:hAnsi="楷体" w:cs="Times New Roman" w:hint="eastAsia"/>
        </w:rPr>
        <w:t>基金经理近期偏好配置中小市值组合，大市值组合次之，中市值组合相对偏低。资金流的板块配置方面，主力资金虽然整体呈持续净流出状态，但在板块配置方面，中小板与创业板块的净流入额相对稳健，且近期中小板与创业板流入资金保持上升势头</w:t>
      </w:r>
      <w:r w:rsidR="00626BA4" w:rsidRPr="00C64AE1">
        <w:rPr>
          <w:rFonts w:ascii="楷体" w:eastAsia="楷体" w:hAnsi="楷体" w:cs="Times New Roman" w:hint="eastAsia"/>
        </w:rPr>
        <w:t>。在资金整体净流出</w:t>
      </w:r>
      <w:r w:rsidR="004711F7" w:rsidRPr="00C64AE1">
        <w:rPr>
          <w:rFonts w:ascii="楷体" w:eastAsia="楷体" w:hAnsi="楷体" w:cs="Times New Roman" w:hint="eastAsia"/>
        </w:rPr>
        <w:t>，特别是基金仓位震荡下行（主要配置大盘蓝筹）</w:t>
      </w:r>
      <w:r w:rsidR="00626BA4" w:rsidRPr="00C64AE1">
        <w:rPr>
          <w:rFonts w:ascii="楷体" w:eastAsia="楷体" w:hAnsi="楷体" w:cs="Times New Roman" w:hint="eastAsia"/>
        </w:rPr>
        <w:t>的状况下，预期净流入资金将向中小板与创业板倾斜，建议关注2019年中小板、创业板的市场走势。</w:t>
      </w:r>
    </w:p>
    <w:p w:rsidR="00290B11" w:rsidRPr="00C64AE1" w:rsidRDefault="00290B11"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综上所述，资金情绪面、市场信心面等认为，沪深两市股指总体上维持震荡偏空的趋势</w:t>
      </w:r>
      <w:r w:rsidR="001C075D" w:rsidRPr="00C64AE1">
        <w:rPr>
          <w:rFonts w:ascii="楷体" w:eastAsia="楷体" w:hAnsi="楷体" w:cs="Times New Roman" w:hint="eastAsia"/>
        </w:rPr>
        <w:t>，若后市存在反弹行情，预期中小板指将领先于主板反弹</w:t>
      </w:r>
      <w:r w:rsidRPr="00C64AE1">
        <w:rPr>
          <w:rFonts w:ascii="楷体" w:eastAsia="楷体" w:hAnsi="楷体" w:cs="Times New Roman" w:hint="eastAsia"/>
        </w:rPr>
        <w:t>。</w:t>
      </w:r>
      <w:r w:rsidR="001C075D" w:rsidRPr="00C64AE1">
        <w:rPr>
          <w:rFonts w:ascii="楷体" w:eastAsia="楷体" w:hAnsi="楷体" w:cs="Times New Roman" w:hint="eastAsia"/>
        </w:rPr>
        <w:t>总结</w:t>
      </w:r>
      <w:r w:rsidRPr="00C64AE1">
        <w:rPr>
          <w:rFonts w:ascii="楷体" w:eastAsia="楷体" w:hAnsi="楷体" w:cs="Times New Roman" w:hint="eastAsia"/>
        </w:rPr>
        <w:t>历史经验</w:t>
      </w:r>
      <w:r w:rsidR="001C075D" w:rsidRPr="00C64AE1">
        <w:rPr>
          <w:rFonts w:ascii="楷体" w:eastAsia="楷体" w:hAnsi="楷体" w:cs="Times New Roman" w:hint="eastAsia"/>
        </w:rPr>
        <w:t>发现</w:t>
      </w:r>
      <w:r w:rsidRPr="00C64AE1">
        <w:rPr>
          <w:rFonts w:ascii="楷体" w:eastAsia="楷体" w:hAnsi="楷体" w:cs="Times New Roman" w:hint="eastAsia"/>
        </w:rPr>
        <w:t>，上证综指未来1-3个月的涨跌幅约为：±7%，未来6个月的上下浮动区间约为：±18%。若按2018年10月22号均值约2600点的点位算，±7%的区间涨跌幅对应上证综指的浮动区间[2400， 2800]，±18%的区间涨跌幅对应上证综指的浮动区间[2100，3100]。</w:t>
      </w:r>
    </w:p>
    <w:p w:rsidR="00EC4368" w:rsidRPr="00C64AE1" w:rsidRDefault="00EC4368" w:rsidP="00446770">
      <w:pPr>
        <w:widowControl/>
        <w:numPr>
          <w:ilvl w:val="1"/>
          <w:numId w:val="0"/>
        </w:numPr>
        <w:spacing w:beforeLines="50" w:afterLines="50" w:line="360" w:lineRule="auto"/>
        <w:ind w:leftChars="1200" w:left="3026" w:hangingChars="180" w:hanging="506"/>
        <w:outlineLvl w:val="1"/>
        <w:rPr>
          <w:rFonts w:ascii="楷体" w:eastAsia="楷体" w:hAnsi="楷体" w:cs="Times New Roman"/>
          <w:b/>
          <w:sz w:val="28"/>
        </w:rPr>
      </w:pPr>
      <w:bookmarkStart w:id="37" w:name="_Toc531856915"/>
      <w:r w:rsidRPr="00C64AE1">
        <w:rPr>
          <w:rFonts w:ascii="楷体" w:eastAsia="楷体" w:hAnsi="楷体" w:cs="Times New Roman" w:hint="eastAsia"/>
          <w:b/>
          <w:sz w:val="28"/>
        </w:rPr>
        <w:t>3.2 择时模型对市场趋势的判断</w:t>
      </w:r>
      <w:bookmarkEnd w:id="37"/>
    </w:p>
    <w:p w:rsidR="00580C15" w:rsidRPr="00C64AE1" w:rsidRDefault="00580C15"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根据道氏理论框架，应用最快收敛法则、自适应算法与因子分析法等前沿理论，从买卖双方的相对强度着手，构建能及时反映市场多头或空头趋势的多空强度指数【研究报告</w:t>
      </w:r>
      <w:r w:rsidR="007958D9" w:rsidRPr="00C64AE1">
        <w:rPr>
          <w:rFonts w:ascii="楷体" w:eastAsia="楷体" w:hAnsi="楷体" w:cs="Times New Roman" w:hint="eastAsia"/>
        </w:rPr>
        <w:lastRenderedPageBreak/>
        <w:t>参考</w:t>
      </w:r>
      <w:r w:rsidRPr="00C64AE1">
        <w:rPr>
          <w:rFonts w:ascii="楷体" w:eastAsia="楷体" w:hAnsi="楷体" w:cs="Times New Roman" w:hint="eastAsia"/>
        </w:rPr>
        <w:t>：多空强度与买卖点择时研究深度】。依据多空强度指数的相对强度、看多或看空信号及其趋势，判断沪深</w:t>
      </w:r>
      <w:r w:rsidRPr="00C64AE1">
        <w:rPr>
          <w:rFonts w:ascii="楷体" w:eastAsia="楷体" w:hAnsi="楷体" w:cs="Times New Roman"/>
        </w:rPr>
        <w:t>300</w:t>
      </w:r>
      <w:r w:rsidRPr="00C64AE1">
        <w:rPr>
          <w:rFonts w:ascii="楷体" w:eastAsia="楷体" w:hAnsi="楷体" w:cs="Times New Roman" w:hint="eastAsia"/>
        </w:rPr>
        <w:t>、上证综指、创业板指以及中小板指</w:t>
      </w:r>
      <w:r w:rsidR="007958D9" w:rsidRPr="00C64AE1">
        <w:rPr>
          <w:rFonts w:ascii="楷体" w:eastAsia="楷体" w:hAnsi="楷体" w:cs="Times New Roman" w:hint="eastAsia"/>
        </w:rPr>
        <w:t>、中证500、中证1000等沪深两市主要指数</w:t>
      </w:r>
      <w:r w:rsidRPr="00C64AE1">
        <w:rPr>
          <w:rFonts w:ascii="楷体" w:eastAsia="楷体" w:hAnsi="楷体" w:cs="Times New Roman" w:hint="eastAsia"/>
        </w:rPr>
        <w:t>的未来走势，以佐证资金流、市场信心等方面相关论断的可行性。</w:t>
      </w:r>
      <w:r w:rsidR="00054C6B" w:rsidRPr="00C64AE1">
        <w:rPr>
          <w:rFonts w:ascii="楷体" w:eastAsia="楷体" w:hAnsi="楷体" w:cs="Times New Roman" w:hint="eastAsia"/>
        </w:rPr>
        <w:t>多空信号、历史胜率与盈亏比</w:t>
      </w:r>
      <w:r w:rsidR="007958D9" w:rsidRPr="00C64AE1">
        <w:rPr>
          <w:rFonts w:ascii="楷体" w:eastAsia="楷体" w:hAnsi="楷体" w:cs="Times New Roman" w:hint="eastAsia"/>
        </w:rPr>
        <w:t>详情如表</w:t>
      </w:r>
      <w:r w:rsidR="00054C6B" w:rsidRPr="00C64AE1">
        <w:rPr>
          <w:rFonts w:ascii="楷体" w:eastAsia="楷体" w:hAnsi="楷体" w:cs="Times New Roman" w:hint="eastAsia"/>
        </w:rPr>
        <w:t>8</w:t>
      </w:r>
      <w:r w:rsidR="007958D9" w:rsidRPr="00C64AE1">
        <w:rPr>
          <w:rFonts w:ascii="楷体" w:eastAsia="楷体" w:hAnsi="楷体" w:cs="Times New Roman" w:hint="eastAsia"/>
        </w:rPr>
        <w:t>所示：</w:t>
      </w:r>
    </w:p>
    <w:tbl>
      <w:tblPr>
        <w:tblW w:w="5000" w:type="pct"/>
        <w:jc w:val="right"/>
        <w:tblLook w:val="04A0"/>
      </w:tblPr>
      <w:tblGrid>
        <w:gridCol w:w="1679"/>
        <w:gridCol w:w="1675"/>
        <w:gridCol w:w="1228"/>
        <w:gridCol w:w="1604"/>
        <w:gridCol w:w="1604"/>
        <w:gridCol w:w="1600"/>
        <w:gridCol w:w="1598"/>
      </w:tblGrid>
      <w:tr w:rsidR="002B2FA9" w:rsidRPr="00C64AE1" w:rsidTr="007958D9">
        <w:trPr>
          <w:trHeight w:val="204"/>
          <w:jc w:val="right"/>
        </w:trPr>
        <w:tc>
          <w:tcPr>
            <w:tcW w:w="5000" w:type="pct"/>
            <w:gridSpan w:val="7"/>
            <w:tcBorders>
              <w:left w:val="dotted" w:sz="4" w:space="0" w:color="auto"/>
              <w:bottom w:val="single" w:sz="6" w:space="0" w:color="BE0000"/>
              <w:right w:val="dotted" w:sz="4" w:space="0" w:color="auto"/>
            </w:tcBorders>
            <w:vAlign w:val="center"/>
          </w:tcPr>
          <w:p w:rsidR="002B2FA9" w:rsidRPr="00C64AE1" w:rsidRDefault="002B2FA9" w:rsidP="007958D9">
            <w:pPr>
              <w:keepNext/>
              <w:keepLines/>
              <w:widowControl/>
              <w:jc w:val="left"/>
              <w:rPr>
                <w:rFonts w:ascii="楷体" w:eastAsia="楷体" w:hAnsi="楷体" w:cs="Arial"/>
                <w:sz w:val="20"/>
                <w:szCs w:val="20"/>
              </w:rPr>
            </w:pPr>
            <w:r w:rsidRPr="00C64AE1">
              <w:rPr>
                <w:rFonts w:ascii="楷体" w:eastAsia="楷体" w:hAnsi="楷体" w:cs="Arial"/>
                <w:sz w:val="20"/>
                <w:szCs w:val="20"/>
              </w:rPr>
              <w:t>表</w:t>
            </w:r>
            <w:r w:rsidR="007958D9" w:rsidRPr="00C64AE1">
              <w:rPr>
                <w:rFonts w:ascii="楷体" w:eastAsia="楷体" w:hAnsi="楷体" w:cs="Arial" w:hint="eastAsia"/>
                <w:sz w:val="20"/>
                <w:szCs w:val="20"/>
              </w:rPr>
              <w:t>8</w:t>
            </w:r>
            <w:r w:rsidRPr="00C64AE1">
              <w:rPr>
                <w:rFonts w:ascii="楷体" w:eastAsia="楷体" w:hAnsi="楷体" w:cs="Arial"/>
                <w:sz w:val="20"/>
                <w:szCs w:val="20"/>
              </w:rPr>
              <w:t xml:space="preserve"> </w:t>
            </w:r>
            <w:r w:rsidRPr="00C64AE1">
              <w:rPr>
                <w:rFonts w:ascii="楷体" w:eastAsia="楷体" w:hAnsi="楷体" w:cs="Arial"/>
                <w:kern w:val="0"/>
                <w:sz w:val="20"/>
                <w:szCs w:val="20"/>
              </w:rPr>
              <w:t xml:space="preserve"> </w:t>
            </w:r>
            <w:r w:rsidRPr="00C64AE1">
              <w:rPr>
                <w:rFonts w:ascii="楷体" w:eastAsia="楷体" w:hAnsi="楷体" w:cs="Arial" w:hint="eastAsia"/>
                <w:kern w:val="0"/>
                <w:sz w:val="20"/>
                <w:szCs w:val="20"/>
              </w:rPr>
              <w:t>择时模型对市场主要指数多空判断</w:t>
            </w:r>
          </w:p>
        </w:tc>
      </w:tr>
      <w:tr w:rsidR="002B2FA9" w:rsidRPr="00C64AE1" w:rsidTr="007958D9">
        <w:trPr>
          <w:trHeight w:val="204"/>
          <w:jc w:val="right"/>
        </w:trPr>
        <w:tc>
          <w:tcPr>
            <w:tcW w:w="764" w:type="pct"/>
            <w:tcBorders>
              <w:top w:val="single" w:sz="12" w:space="0" w:color="BE0000"/>
              <w:left w:val="dotted" w:sz="4" w:space="0" w:color="auto"/>
              <w:bottom w:val="single" w:sz="6" w:space="0" w:color="BE0000"/>
              <w:right w:val="dotted" w:sz="4" w:space="0" w:color="auto"/>
            </w:tcBorders>
            <w:vAlign w:val="center"/>
          </w:tcPr>
          <w:p w:rsidR="002B2FA9" w:rsidRPr="00C64AE1" w:rsidRDefault="002B2FA9" w:rsidP="00AA08D4">
            <w:pPr>
              <w:keepNext/>
              <w:keepLines/>
              <w:widowControl/>
              <w:jc w:val="center"/>
              <w:rPr>
                <w:rFonts w:ascii="楷体" w:eastAsia="楷体" w:hAnsi="楷体" w:cs="Arial"/>
                <w:b/>
                <w:bCs/>
                <w:kern w:val="0"/>
                <w:sz w:val="20"/>
                <w:szCs w:val="20"/>
              </w:rPr>
            </w:pPr>
            <w:r w:rsidRPr="00C64AE1">
              <w:rPr>
                <w:rFonts w:ascii="楷体" w:eastAsia="楷体" w:hAnsi="楷体" w:cs="Arial"/>
                <w:b/>
                <w:bCs/>
                <w:kern w:val="0"/>
                <w:sz w:val="20"/>
                <w:szCs w:val="20"/>
              </w:rPr>
              <w:t>指数名称</w:t>
            </w:r>
          </w:p>
        </w:tc>
        <w:tc>
          <w:tcPr>
            <w:tcW w:w="762" w:type="pct"/>
            <w:tcBorders>
              <w:top w:val="single" w:sz="12" w:space="0" w:color="BE0000"/>
              <w:left w:val="dotted" w:sz="4" w:space="0" w:color="auto"/>
              <w:bottom w:val="single" w:sz="6" w:space="0" w:color="BE0000"/>
              <w:right w:val="dotted" w:sz="4" w:space="0" w:color="auto"/>
            </w:tcBorders>
            <w:shd w:val="clear" w:color="auto" w:fill="auto"/>
            <w:noWrap/>
            <w:vAlign w:val="center"/>
          </w:tcPr>
          <w:p w:rsidR="002B2FA9" w:rsidRPr="00C64AE1" w:rsidRDefault="002B2FA9" w:rsidP="00AA08D4">
            <w:pPr>
              <w:keepNext/>
              <w:keepLines/>
              <w:widowControl/>
              <w:jc w:val="center"/>
              <w:rPr>
                <w:rFonts w:ascii="楷体" w:eastAsia="楷体" w:hAnsi="楷体" w:cs="Arial"/>
                <w:b/>
                <w:bCs/>
                <w:kern w:val="0"/>
                <w:sz w:val="20"/>
                <w:szCs w:val="20"/>
              </w:rPr>
            </w:pPr>
            <w:r w:rsidRPr="00C64AE1">
              <w:rPr>
                <w:rFonts w:ascii="楷体" w:eastAsia="楷体" w:hAnsi="楷体" w:cs="Arial" w:hint="eastAsia"/>
                <w:b/>
                <w:kern w:val="0"/>
                <w:sz w:val="20"/>
                <w:szCs w:val="20"/>
              </w:rPr>
              <w:t>上证综指</w:t>
            </w:r>
          </w:p>
        </w:tc>
        <w:tc>
          <w:tcPr>
            <w:tcW w:w="559" w:type="pct"/>
            <w:tcBorders>
              <w:top w:val="single" w:sz="12" w:space="0" w:color="BE0000"/>
              <w:left w:val="dotted" w:sz="4" w:space="0" w:color="auto"/>
              <w:bottom w:val="single" w:sz="6" w:space="0" w:color="BE0000"/>
              <w:right w:val="dotted" w:sz="4" w:space="0" w:color="auto"/>
            </w:tcBorders>
            <w:shd w:val="clear" w:color="auto" w:fill="auto"/>
            <w:noWrap/>
            <w:vAlign w:val="center"/>
          </w:tcPr>
          <w:p w:rsidR="002B2FA9" w:rsidRPr="00C64AE1" w:rsidRDefault="002B2FA9" w:rsidP="00AA08D4">
            <w:pPr>
              <w:keepNext/>
              <w:keepLines/>
              <w:widowControl/>
              <w:jc w:val="center"/>
              <w:rPr>
                <w:rFonts w:ascii="楷体" w:eastAsia="楷体" w:hAnsi="楷体" w:cs="Arial"/>
                <w:b/>
                <w:bCs/>
                <w:kern w:val="0"/>
                <w:sz w:val="20"/>
                <w:szCs w:val="20"/>
              </w:rPr>
            </w:pPr>
            <w:r w:rsidRPr="00C64AE1">
              <w:rPr>
                <w:rFonts w:ascii="楷体" w:eastAsia="楷体" w:hAnsi="楷体" w:cs="Arial"/>
                <w:b/>
                <w:kern w:val="0"/>
                <w:sz w:val="20"/>
                <w:szCs w:val="20"/>
              </w:rPr>
              <w:t>沪深</w:t>
            </w:r>
            <w:r w:rsidRPr="00C64AE1">
              <w:rPr>
                <w:rFonts w:ascii="楷体" w:eastAsia="楷体" w:hAnsi="楷体" w:cs="Arial" w:hint="eastAsia"/>
                <w:b/>
                <w:kern w:val="0"/>
                <w:sz w:val="20"/>
                <w:szCs w:val="20"/>
              </w:rPr>
              <w:t>300</w:t>
            </w:r>
          </w:p>
        </w:tc>
        <w:tc>
          <w:tcPr>
            <w:tcW w:w="730" w:type="pct"/>
            <w:tcBorders>
              <w:top w:val="single" w:sz="12" w:space="0" w:color="BE0000"/>
              <w:left w:val="dotted" w:sz="4" w:space="0" w:color="auto"/>
              <w:bottom w:val="single" w:sz="6" w:space="0" w:color="BE0000"/>
              <w:right w:val="dotted" w:sz="4" w:space="0" w:color="auto"/>
            </w:tcBorders>
            <w:shd w:val="clear" w:color="auto" w:fill="auto"/>
            <w:noWrap/>
            <w:vAlign w:val="center"/>
          </w:tcPr>
          <w:p w:rsidR="002B2FA9" w:rsidRPr="00C64AE1" w:rsidRDefault="002B2FA9" w:rsidP="00AA08D4">
            <w:pPr>
              <w:keepNext/>
              <w:keepLines/>
              <w:widowControl/>
              <w:jc w:val="center"/>
              <w:rPr>
                <w:rFonts w:ascii="楷体" w:eastAsia="楷体" w:hAnsi="楷体" w:cs="Arial"/>
                <w:b/>
                <w:bCs/>
                <w:kern w:val="0"/>
                <w:sz w:val="20"/>
                <w:szCs w:val="20"/>
              </w:rPr>
            </w:pPr>
            <w:r w:rsidRPr="00C64AE1">
              <w:rPr>
                <w:rFonts w:ascii="楷体" w:eastAsia="楷体" w:hAnsi="楷体" w:cs="Arial"/>
                <w:b/>
                <w:kern w:val="0"/>
                <w:sz w:val="20"/>
                <w:szCs w:val="20"/>
              </w:rPr>
              <w:t>中小板指</w:t>
            </w:r>
          </w:p>
        </w:tc>
        <w:tc>
          <w:tcPr>
            <w:tcW w:w="730" w:type="pct"/>
            <w:tcBorders>
              <w:top w:val="single" w:sz="12" w:space="0" w:color="BE0000"/>
              <w:left w:val="dotted" w:sz="4" w:space="0" w:color="auto"/>
              <w:bottom w:val="single" w:sz="6" w:space="0" w:color="BE0000"/>
              <w:right w:val="dotted" w:sz="4" w:space="0" w:color="auto"/>
            </w:tcBorders>
            <w:vAlign w:val="center"/>
          </w:tcPr>
          <w:p w:rsidR="002B2FA9" w:rsidRPr="00C64AE1" w:rsidRDefault="002B2FA9" w:rsidP="00AA08D4">
            <w:pPr>
              <w:keepNext/>
              <w:keepLines/>
              <w:widowControl/>
              <w:jc w:val="center"/>
              <w:rPr>
                <w:rFonts w:ascii="楷体" w:eastAsia="楷体" w:hAnsi="楷体" w:cs="Arial"/>
                <w:b/>
                <w:bCs/>
                <w:kern w:val="0"/>
                <w:sz w:val="20"/>
                <w:szCs w:val="20"/>
              </w:rPr>
            </w:pPr>
            <w:r w:rsidRPr="00C64AE1">
              <w:rPr>
                <w:rFonts w:ascii="楷体" w:eastAsia="楷体" w:hAnsi="楷体" w:cs="Arial"/>
                <w:b/>
                <w:kern w:val="0"/>
                <w:sz w:val="20"/>
                <w:szCs w:val="20"/>
              </w:rPr>
              <w:t>创业板指</w:t>
            </w:r>
          </w:p>
        </w:tc>
        <w:tc>
          <w:tcPr>
            <w:tcW w:w="728" w:type="pct"/>
            <w:tcBorders>
              <w:top w:val="single" w:sz="12" w:space="0" w:color="BE0000"/>
              <w:left w:val="dotted" w:sz="4" w:space="0" w:color="auto"/>
              <w:bottom w:val="single" w:sz="6" w:space="0" w:color="BE0000"/>
              <w:right w:val="dotted" w:sz="4" w:space="0" w:color="auto"/>
            </w:tcBorders>
            <w:vAlign w:val="center"/>
          </w:tcPr>
          <w:p w:rsidR="002B2FA9" w:rsidRPr="00C64AE1" w:rsidRDefault="002B2FA9" w:rsidP="00AA08D4">
            <w:pPr>
              <w:keepNext/>
              <w:keepLines/>
              <w:widowControl/>
              <w:jc w:val="center"/>
              <w:rPr>
                <w:rFonts w:ascii="楷体" w:eastAsia="楷体" w:hAnsi="楷体" w:cs="Arial"/>
                <w:b/>
                <w:bCs/>
                <w:kern w:val="0"/>
                <w:sz w:val="20"/>
                <w:szCs w:val="20"/>
              </w:rPr>
            </w:pPr>
            <w:r w:rsidRPr="00C64AE1">
              <w:rPr>
                <w:rFonts w:ascii="楷体" w:eastAsia="楷体" w:hAnsi="楷体" w:cs="Arial"/>
                <w:b/>
                <w:kern w:val="0"/>
                <w:sz w:val="20"/>
                <w:szCs w:val="20"/>
              </w:rPr>
              <w:t>中证</w:t>
            </w:r>
            <w:r w:rsidRPr="00C64AE1">
              <w:rPr>
                <w:rFonts w:ascii="楷体" w:eastAsia="楷体" w:hAnsi="楷体" w:cs="Arial" w:hint="eastAsia"/>
                <w:b/>
                <w:kern w:val="0"/>
                <w:sz w:val="20"/>
                <w:szCs w:val="20"/>
              </w:rPr>
              <w:t>500</w:t>
            </w:r>
          </w:p>
        </w:tc>
        <w:tc>
          <w:tcPr>
            <w:tcW w:w="727" w:type="pct"/>
            <w:tcBorders>
              <w:top w:val="single" w:sz="12" w:space="0" w:color="BE0000"/>
              <w:left w:val="dotted" w:sz="4" w:space="0" w:color="auto"/>
              <w:bottom w:val="single" w:sz="6" w:space="0" w:color="BE0000"/>
              <w:right w:val="dotted" w:sz="4" w:space="0" w:color="auto"/>
            </w:tcBorders>
          </w:tcPr>
          <w:p w:rsidR="002B2FA9" w:rsidRPr="00C64AE1" w:rsidRDefault="002B2FA9" w:rsidP="002B2FA9">
            <w:pPr>
              <w:keepNext/>
              <w:keepLines/>
              <w:widowControl/>
              <w:jc w:val="center"/>
              <w:rPr>
                <w:rFonts w:ascii="楷体" w:eastAsia="楷体" w:hAnsi="楷体" w:cs="Arial"/>
                <w:kern w:val="0"/>
                <w:sz w:val="20"/>
                <w:szCs w:val="20"/>
              </w:rPr>
            </w:pPr>
            <w:r w:rsidRPr="00C64AE1">
              <w:rPr>
                <w:rFonts w:ascii="楷体" w:eastAsia="楷体" w:hAnsi="楷体" w:cs="Arial"/>
                <w:b/>
                <w:kern w:val="0"/>
                <w:sz w:val="20"/>
                <w:szCs w:val="20"/>
              </w:rPr>
              <w:t>中证</w:t>
            </w:r>
            <w:r w:rsidRPr="00C64AE1">
              <w:rPr>
                <w:rFonts w:ascii="楷体" w:eastAsia="楷体" w:hAnsi="楷体" w:cs="Arial" w:hint="eastAsia"/>
                <w:b/>
                <w:kern w:val="0"/>
                <w:sz w:val="20"/>
                <w:szCs w:val="20"/>
              </w:rPr>
              <w:t>1000</w:t>
            </w:r>
          </w:p>
        </w:tc>
      </w:tr>
      <w:tr w:rsidR="002B2FA9" w:rsidRPr="00C64AE1" w:rsidTr="00054C6B">
        <w:trPr>
          <w:trHeight w:val="231"/>
          <w:jc w:val="right"/>
        </w:trPr>
        <w:tc>
          <w:tcPr>
            <w:tcW w:w="764" w:type="pct"/>
            <w:tcBorders>
              <w:top w:val="dotted" w:sz="4" w:space="0" w:color="auto"/>
              <w:left w:val="dotted" w:sz="4" w:space="0" w:color="auto"/>
              <w:bottom w:val="dotted" w:sz="4" w:space="0" w:color="auto"/>
              <w:right w:val="dotted" w:sz="4" w:space="0" w:color="auto"/>
            </w:tcBorders>
            <w:vAlign w:val="center"/>
          </w:tcPr>
          <w:p w:rsidR="002B2FA9" w:rsidRPr="00C64AE1" w:rsidRDefault="002B2FA9" w:rsidP="00AA08D4">
            <w:pPr>
              <w:keepNext/>
              <w:keepLines/>
              <w:widowControl/>
              <w:jc w:val="center"/>
              <w:rPr>
                <w:rFonts w:ascii="楷体" w:eastAsia="楷体" w:hAnsi="楷体" w:cs="Arial"/>
                <w:b/>
                <w:kern w:val="0"/>
                <w:sz w:val="20"/>
                <w:szCs w:val="20"/>
              </w:rPr>
            </w:pPr>
            <w:r w:rsidRPr="00C64AE1">
              <w:rPr>
                <w:rFonts w:ascii="楷体" w:eastAsia="楷体" w:hAnsi="楷体" w:cs="Arial" w:hint="eastAsia"/>
                <w:b/>
                <w:kern w:val="0"/>
                <w:sz w:val="20"/>
                <w:szCs w:val="20"/>
              </w:rPr>
              <w:t>多空判断</w:t>
            </w:r>
          </w:p>
        </w:tc>
        <w:tc>
          <w:tcPr>
            <w:tcW w:w="762" w:type="pct"/>
            <w:tcBorders>
              <w:top w:val="dotted" w:sz="4" w:space="0" w:color="auto"/>
              <w:left w:val="dotted" w:sz="4" w:space="0" w:color="auto"/>
              <w:bottom w:val="dotted" w:sz="4" w:space="0" w:color="auto"/>
              <w:right w:val="dotted" w:sz="4" w:space="0" w:color="auto"/>
            </w:tcBorders>
            <w:shd w:val="clear" w:color="auto" w:fill="auto"/>
            <w:noWrap/>
            <w:vAlign w:val="center"/>
          </w:tcPr>
          <w:p w:rsidR="002B2FA9" w:rsidRPr="00C64AE1" w:rsidRDefault="007958D9" w:rsidP="00AA08D4">
            <w:pPr>
              <w:jc w:val="center"/>
              <w:rPr>
                <w:rFonts w:ascii="楷体" w:eastAsia="楷体" w:hAnsi="楷体" w:cs="宋体"/>
                <w:sz w:val="20"/>
                <w:szCs w:val="20"/>
              </w:rPr>
            </w:pPr>
            <w:r w:rsidRPr="00C64AE1">
              <w:rPr>
                <w:rFonts w:ascii="楷体" w:eastAsia="楷体" w:hAnsi="楷体" w:cs="宋体" w:hint="eastAsia"/>
                <w:sz w:val="20"/>
                <w:szCs w:val="20"/>
              </w:rPr>
              <w:t>强烈看空</w:t>
            </w:r>
          </w:p>
        </w:tc>
        <w:tc>
          <w:tcPr>
            <w:tcW w:w="559" w:type="pct"/>
            <w:tcBorders>
              <w:top w:val="dotted" w:sz="4" w:space="0" w:color="auto"/>
              <w:left w:val="dotted" w:sz="4" w:space="0" w:color="auto"/>
              <w:bottom w:val="dotted" w:sz="4" w:space="0" w:color="auto"/>
              <w:right w:val="dotted" w:sz="4" w:space="0" w:color="auto"/>
            </w:tcBorders>
            <w:shd w:val="clear" w:color="auto" w:fill="auto"/>
            <w:noWrap/>
            <w:vAlign w:val="center"/>
          </w:tcPr>
          <w:p w:rsidR="002B2FA9" w:rsidRPr="00C64AE1" w:rsidRDefault="002B2FA9" w:rsidP="00AA08D4">
            <w:pPr>
              <w:jc w:val="center"/>
              <w:rPr>
                <w:rFonts w:ascii="楷体" w:eastAsia="楷体" w:hAnsi="楷体" w:cs="宋体"/>
                <w:sz w:val="20"/>
                <w:szCs w:val="20"/>
              </w:rPr>
            </w:pPr>
            <w:r w:rsidRPr="00C64AE1">
              <w:rPr>
                <w:rFonts w:ascii="楷体" w:eastAsia="楷体" w:hAnsi="楷体" w:cs="宋体"/>
                <w:sz w:val="20"/>
                <w:szCs w:val="20"/>
              </w:rPr>
              <w:t>看空</w:t>
            </w:r>
          </w:p>
        </w:tc>
        <w:tc>
          <w:tcPr>
            <w:tcW w:w="730" w:type="pct"/>
            <w:tcBorders>
              <w:top w:val="dotted" w:sz="4" w:space="0" w:color="auto"/>
              <w:left w:val="dotted" w:sz="4" w:space="0" w:color="auto"/>
              <w:bottom w:val="dotted" w:sz="4" w:space="0" w:color="auto"/>
              <w:right w:val="dotted" w:sz="4" w:space="0" w:color="auto"/>
            </w:tcBorders>
            <w:shd w:val="clear" w:color="auto" w:fill="auto"/>
            <w:noWrap/>
            <w:vAlign w:val="center"/>
          </w:tcPr>
          <w:p w:rsidR="002B2FA9" w:rsidRPr="00C64AE1" w:rsidRDefault="007958D9" w:rsidP="00AA08D4">
            <w:pPr>
              <w:keepNext/>
              <w:keepLines/>
              <w:widowControl/>
              <w:jc w:val="center"/>
              <w:rPr>
                <w:rFonts w:ascii="楷体" w:eastAsia="楷体" w:hAnsi="楷体" w:cs="Arial"/>
                <w:bCs/>
                <w:kern w:val="0"/>
                <w:sz w:val="20"/>
                <w:szCs w:val="20"/>
              </w:rPr>
            </w:pPr>
            <w:r w:rsidRPr="00C64AE1">
              <w:rPr>
                <w:rFonts w:ascii="楷体" w:eastAsia="楷体" w:hAnsi="楷体" w:cs="宋体" w:hint="eastAsia"/>
                <w:sz w:val="20"/>
                <w:szCs w:val="20"/>
              </w:rPr>
              <w:t>强烈看空</w:t>
            </w:r>
          </w:p>
        </w:tc>
        <w:tc>
          <w:tcPr>
            <w:tcW w:w="730" w:type="pct"/>
            <w:tcBorders>
              <w:top w:val="dotted" w:sz="4" w:space="0" w:color="auto"/>
              <w:left w:val="dotted" w:sz="4" w:space="0" w:color="auto"/>
              <w:bottom w:val="dotted" w:sz="4" w:space="0" w:color="auto"/>
              <w:right w:val="dotted" w:sz="4" w:space="0" w:color="auto"/>
            </w:tcBorders>
            <w:vAlign w:val="center"/>
          </w:tcPr>
          <w:p w:rsidR="002B2FA9" w:rsidRPr="00C64AE1" w:rsidRDefault="007958D9" w:rsidP="00AA08D4">
            <w:pPr>
              <w:keepNext/>
              <w:keepLines/>
              <w:widowControl/>
              <w:jc w:val="center"/>
              <w:rPr>
                <w:rFonts w:ascii="楷体" w:eastAsia="楷体" w:hAnsi="楷体" w:cs="Arial"/>
                <w:kern w:val="0"/>
                <w:sz w:val="20"/>
                <w:szCs w:val="20"/>
              </w:rPr>
            </w:pPr>
            <w:r w:rsidRPr="00C64AE1">
              <w:rPr>
                <w:rFonts w:ascii="楷体" w:eastAsia="楷体" w:hAnsi="楷体" w:cs="宋体" w:hint="eastAsia"/>
                <w:sz w:val="20"/>
                <w:szCs w:val="20"/>
              </w:rPr>
              <w:t>强烈看空</w:t>
            </w:r>
          </w:p>
        </w:tc>
        <w:tc>
          <w:tcPr>
            <w:tcW w:w="728" w:type="pct"/>
            <w:tcBorders>
              <w:top w:val="dotted" w:sz="4" w:space="0" w:color="auto"/>
              <w:left w:val="dotted" w:sz="4" w:space="0" w:color="auto"/>
              <w:bottom w:val="dotted" w:sz="4" w:space="0" w:color="auto"/>
              <w:right w:val="dotted" w:sz="4" w:space="0" w:color="auto"/>
            </w:tcBorders>
          </w:tcPr>
          <w:p w:rsidR="002B2FA9" w:rsidRPr="00C64AE1" w:rsidRDefault="007958D9" w:rsidP="00AA08D4">
            <w:pPr>
              <w:jc w:val="center"/>
              <w:rPr>
                <w:rFonts w:ascii="楷体" w:eastAsia="楷体" w:hAnsi="楷体" w:cs="宋体"/>
                <w:b/>
                <w:sz w:val="20"/>
                <w:szCs w:val="20"/>
              </w:rPr>
            </w:pPr>
            <w:r w:rsidRPr="00C64AE1">
              <w:rPr>
                <w:rFonts w:ascii="楷体" w:eastAsia="楷体" w:hAnsi="楷体" w:cs="宋体" w:hint="eastAsia"/>
                <w:sz w:val="20"/>
                <w:szCs w:val="20"/>
              </w:rPr>
              <w:t>强烈看空</w:t>
            </w:r>
          </w:p>
        </w:tc>
        <w:tc>
          <w:tcPr>
            <w:tcW w:w="727" w:type="pct"/>
            <w:tcBorders>
              <w:top w:val="dotted" w:sz="4" w:space="0" w:color="auto"/>
              <w:left w:val="dotted" w:sz="4" w:space="0" w:color="auto"/>
              <w:bottom w:val="dotted" w:sz="4" w:space="0" w:color="auto"/>
              <w:right w:val="dotted" w:sz="4" w:space="0" w:color="auto"/>
            </w:tcBorders>
          </w:tcPr>
          <w:p w:rsidR="002B2FA9" w:rsidRPr="00C64AE1" w:rsidRDefault="007958D9" w:rsidP="00AA08D4">
            <w:pPr>
              <w:jc w:val="center"/>
              <w:rPr>
                <w:rFonts w:ascii="楷体" w:eastAsia="楷体" w:hAnsi="楷体" w:cs="宋体"/>
                <w:b/>
                <w:sz w:val="20"/>
                <w:szCs w:val="20"/>
              </w:rPr>
            </w:pPr>
            <w:r w:rsidRPr="00C64AE1">
              <w:rPr>
                <w:rFonts w:ascii="楷体" w:eastAsia="楷体" w:hAnsi="楷体" w:cs="宋体" w:hint="eastAsia"/>
                <w:sz w:val="20"/>
                <w:szCs w:val="20"/>
              </w:rPr>
              <w:t>强烈看空</w:t>
            </w:r>
          </w:p>
        </w:tc>
      </w:tr>
      <w:tr w:rsidR="00054C6B" w:rsidRPr="00C64AE1" w:rsidTr="00054C6B">
        <w:trPr>
          <w:trHeight w:val="231"/>
          <w:jc w:val="right"/>
        </w:trPr>
        <w:tc>
          <w:tcPr>
            <w:tcW w:w="764" w:type="pct"/>
            <w:tcBorders>
              <w:top w:val="dotted" w:sz="4" w:space="0" w:color="auto"/>
              <w:left w:val="dotted" w:sz="4" w:space="0" w:color="auto"/>
              <w:bottom w:val="dotted" w:sz="4" w:space="0" w:color="auto"/>
              <w:right w:val="dotted" w:sz="4" w:space="0" w:color="auto"/>
            </w:tcBorders>
            <w:vAlign w:val="center"/>
          </w:tcPr>
          <w:p w:rsidR="00054C6B" w:rsidRPr="00C64AE1" w:rsidRDefault="00054C6B" w:rsidP="00AA08D4">
            <w:pPr>
              <w:keepNext/>
              <w:keepLines/>
              <w:widowControl/>
              <w:jc w:val="center"/>
              <w:rPr>
                <w:rFonts w:ascii="楷体" w:eastAsia="楷体" w:hAnsi="楷体" w:cs="Arial"/>
                <w:b/>
                <w:kern w:val="0"/>
                <w:sz w:val="20"/>
                <w:szCs w:val="20"/>
              </w:rPr>
            </w:pPr>
            <w:r w:rsidRPr="00C64AE1">
              <w:rPr>
                <w:rFonts w:ascii="楷体" w:eastAsia="楷体" w:hAnsi="楷体" w:cs="Arial" w:hint="eastAsia"/>
                <w:b/>
                <w:kern w:val="0"/>
                <w:sz w:val="20"/>
                <w:szCs w:val="20"/>
              </w:rPr>
              <w:t>胜 率</w:t>
            </w:r>
          </w:p>
        </w:tc>
        <w:tc>
          <w:tcPr>
            <w:tcW w:w="762" w:type="pct"/>
            <w:tcBorders>
              <w:top w:val="dotted" w:sz="4" w:space="0" w:color="auto"/>
              <w:left w:val="dotted" w:sz="4" w:space="0" w:color="auto"/>
              <w:bottom w:val="dotted" w:sz="4" w:space="0" w:color="auto"/>
              <w:right w:val="dotted" w:sz="4" w:space="0" w:color="auto"/>
            </w:tcBorders>
            <w:shd w:val="clear" w:color="auto" w:fill="auto"/>
            <w:noWrap/>
            <w:vAlign w:val="center"/>
          </w:tcPr>
          <w:p w:rsidR="00054C6B" w:rsidRPr="00C64AE1" w:rsidRDefault="00054C6B" w:rsidP="00AA08D4">
            <w:pPr>
              <w:jc w:val="center"/>
              <w:rPr>
                <w:rFonts w:ascii="楷体" w:eastAsia="楷体" w:hAnsi="楷体" w:cs="宋体"/>
                <w:sz w:val="20"/>
                <w:szCs w:val="20"/>
              </w:rPr>
            </w:pPr>
            <w:r w:rsidRPr="00C64AE1">
              <w:rPr>
                <w:rFonts w:ascii="楷体" w:eastAsia="楷体" w:hAnsi="楷体" w:cs="宋体" w:hint="eastAsia"/>
                <w:sz w:val="20"/>
                <w:szCs w:val="20"/>
              </w:rPr>
              <w:t>60.46%</w:t>
            </w:r>
          </w:p>
        </w:tc>
        <w:tc>
          <w:tcPr>
            <w:tcW w:w="559" w:type="pct"/>
            <w:tcBorders>
              <w:top w:val="dotted" w:sz="4" w:space="0" w:color="auto"/>
              <w:left w:val="dotted" w:sz="4" w:space="0" w:color="auto"/>
              <w:bottom w:val="dotted" w:sz="4" w:space="0" w:color="auto"/>
              <w:right w:val="dotted" w:sz="4" w:space="0" w:color="auto"/>
            </w:tcBorders>
            <w:shd w:val="clear" w:color="auto" w:fill="auto"/>
            <w:noWrap/>
            <w:vAlign w:val="center"/>
          </w:tcPr>
          <w:p w:rsidR="00054C6B" w:rsidRPr="00C64AE1" w:rsidRDefault="00054C6B" w:rsidP="00AA08D4">
            <w:pPr>
              <w:jc w:val="center"/>
              <w:rPr>
                <w:rFonts w:ascii="楷体" w:eastAsia="楷体" w:hAnsi="楷体" w:cs="宋体"/>
                <w:sz w:val="20"/>
                <w:szCs w:val="20"/>
              </w:rPr>
            </w:pPr>
            <w:r w:rsidRPr="00C64AE1">
              <w:rPr>
                <w:rFonts w:ascii="楷体" w:eastAsia="楷体" w:hAnsi="楷体" w:cs="宋体" w:hint="eastAsia"/>
                <w:sz w:val="20"/>
                <w:szCs w:val="20"/>
              </w:rPr>
              <w:t>57.22%</w:t>
            </w:r>
          </w:p>
        </w:tc>
        <w:tc>
          <w:tcPr>
            <w:tcW w:w="730" w:type="pct"/>
            <w:tcBorders>
              <w:top w:val="dotted" w:sz="4" w:space="0" w:color="auto"/>
              <w:left w:val="dotted" w:sz="4" w:space="0" w:color="auto"/>
              <w:bottom w:val="dotted" w:sz="4" w:space="0" w:color="auto"/>
              <w:right w:val="dotted" w:sz="4" w:space="0" w:color="auto"/>
            </w:tcBorders>
            <w:shd w:val="clear" w:color="auto" w:fill="auto"/>
            <w:noWrap/>
            <w:vAlign w:val="center"/>
          </w:tcPr>
          <w:p w:rsidR="00054C6B" w:rsidRPr="00C64AE1" w:rsidRDefault="00054C6B" w:rsidP="00AA08D4">
            <w:pPr>
              <w:keepNext/>
              <w:keepLines/>
              <w:widowControl/>
              <w:jc w:val="center"/>
              <w:rPr>
                <w:rFonts w:ascii="楷体" w:eastAsia="楷体" w:hAnsi="楷体" w:cs="宋体"/>
                <w:sz w:val="20"/>
                <w:szCs w:val="20"/>
              </w:rPr>
            </w:pPr>
            <w:r w:rsidRPr="00C64AE1">
              <w:rPr>
                <w:rFonts w:ascii="楷体" w:eastAsia="楷体" w:hAnsi="楷体" w:cs="宋体" w:hint="eastAsia"/>
                <w:sz w:val="20"/>
                <w:szCs w:val="20"/>
              </w:rPr>
              <w:t>52.56%</w:t>
            </w:r>
          </w:p>
        </w:tc>
        <w:tc>
          <w:tcPr>
            <w:tcW w:w="730" w:type="pct"/>
            <w:tcBorders>
              <w:top w:val="dotted" w:sz="4" w:space="0" w:color="auto"/>
              <w:left w:val="dotted" w:sz="4" w:space="0" w:color="auto"/>
              <w:bottom w:val="dotted" w:sz="4" w:space="0" w:color="auto"/>
              <w:right w:val="dotted" w:sz="4" w:space="0" w:color="auto"/>
            </w:tcBorders>
            <w:vAlign w:val="center"/>
          </w:tcPr>
          <w:p w:rsidR="00054C6B" w:rsidRPr="00C64AE1" w:rsidRDefault="00054C6B" w:rsidP="00AA08D4">
            <w:pPr>
              <w:keepNext/>
              <w:keepLines/>
              <w:widowControl/>
              <w:jc w:val="center"/>
              <w:rPr>
                <w:rFonts w:ascii="楷体" w:eastAsia="楷体" w:hAnsi="楷体" w:cs="宋体"/>
                <w:sz w:val="20"/>
                <w:szCs w:val="20"/>
              </w:rPr>
            </w:pPr>
            <w:r w:rsidRPr="00C64AE1">
              <w:rPr>
                <w:rFonts w:ascii="楷体" w:eastAsia="楷体" w:hAnsi="楷体" w:cs="宋体" w:hint="eastAsia"/>
                <w:sz w:val="20"/>
                <w:szCs w:val="20"/>
              </w:rPr>
              <w:t>53.92%</w:t>
            </w:r>
          </w:p>
        </w:tc>
        <w:tc>
          <w:tcPr>
            <w:tcW w:w="728" w:type="pct"/>
            <w:tcBorders>
              <w:top w:val="dotted" w:sz="4" w:space="0" w:color="auto"/>
              <w:left w:val="dotted" w:sz="4" w:space="0" w:color="auto"/>
              <w:bottom w:val="dotted" w:sz="4" w:space="0" w:color="auto"/>
              <w:right w:val="dotted" w:sz="4" w:space="0" w:color="auto"/>
            </w:tcBorders>
          </w:tcPr>
          <w:p w:rsidR="00054C6B" w:rsidRPr="00C64AE1" w:rsidRDefault="00054C6B" w:rsidP="00AA08D4">
            <w:pPr>
              <w:jc w:val="center"/>
              <w:rPr>
                <w:rFonts w:ascii="楷体" w:eastAsia="楷体" w:hAnsi="楷体" w:cs="宋体"/>
                <w:sz w:val="20"/>
                <w:szCs w:val="20"/>
              </w:rPr>
            </w:pPr>
            <w:r w:rsidRPr="00C64AE1">
              <w:rPr>
                <w:rFonts w:ascii="楷体" w:eastAsia="楷体" w:hAnsi="楷体" w:cs="宋体" w:hint="eastAsia"/>
                <w:sz w:val="20"/>
                <w:szCs w:val="20"/>
              </w:rPr>
              <w:t>60.37%</w:t>
            </w:r>
          </w:p>
        </w:tc>
        <w:tc>
          <w:tcPr>
            <w:tcW w:w="727" w:type="pct"/>
            <w:tcBorders>
              <w:top w:val="dotted" w:sz="4" w:space="0" w:color="auto"/>
              <w:left w:val="dotted" w:sz="4" w:space="0" w:color="auto"/>
              <w:bottom w:val="dotted" w:sz="4" w:space="0" w:color="auto"/>
              <w:right w:val="dotted" w:sz="4" w:space="0" w:color="auto"/>
            </w:tcBorders>
          </w:tcPr>
          <w:p w:rsidR="00054C6B" w:rsidRPr="00C64AE1" w:rsidRDefault="00054C6B" w:rsidP="00AA08D4">
            <w:pPr>
              <w:jc w:val="center"/>
              <w:rPr>
                <w:rFonts w:ascii="楷体" w:eastAsia="楷体" w:hAnsi="楷体" w:cs="宋体"/>
                <w:sz w:val="20"/>
                <w:szCs w:val="20"/>
              </w:rPr>
            </w:pPr>
            <w:r w:rsidRPr="00C64AE1">
              <w:rPr>
                <w:rFonts w:ascii="楷体" w:eastAsia="楷体" w:hAnsi="楷体" w:cs="宋体" w:hint="eastAsia"/>
                <w:sz w:val="20"/>
                <w:szCs w:val="20"/>
              </w:rPr>
              <w:t>55.12%</w:t>
            </w:r>
          </w:p>
        </w:tc>
      </w:tr>
      <w:tr w:rsidR="00054C6B" w:rsidRPr="00C64AE1" w:rsidTr="007958D9">
        <w:trPr>
          <w:trHeight w:val="231"/>
          <w:jc w:val="right"/>
        </w:trPr>
        <w:tc>
          <w:tcPr>
            <w:tcW w:w="764" w:type="pct"/>
            <w:tcBorders>
              <w:top w:val="dotted" w:sz="4" w:space="0" w:color="auto"/>
              <w:left w:val="dotted" w:sz="4" w:space="0" w:color="auto"/>
              <w:bottom w:val="single" w:sz="12" w:space="0" w:color="BE0000"/>
              <w:right w:val="dotted" w:sz="4" w:space="0" w:color="auto"/>
            </w:tcBorders>
            <w:vAlign w:val="center"/>
          </w:tcPr>
          <w:p w:rsidR="00054C6B" w:rsidRPr="00C64AE1" w:rsidRDefault="00054C6B" w:rsidP="00AA08D4">
            <w:pPr>
              <w:keepNext/>
              <w:keepLines/>
              <w:widowControl/>
              <w:jc w:val="center"/>
              <w:rPr>
                <w:rFonts w:ascii="楷体" w:eastAsia="楷体" w:hAnsi="楷体" w:cs="Arial"/>
                <w:b/>
                <w:kern w:val="0"/>
                <w:sz w:val="20"/>
                <w:szCs w:val="20"/>
              </w:rPr>
            </w:pPr>
            <w:r w:rsidRPr="00C64AE1">
              <w:rPr>
                <w:rFonts w:ascii="楷体" w:eastAsia="楷体" w:hAnsi="楷体" w:cs="Arial" w:hint="eastAsia"/>
                <w:b/>
                <w:kern w:val="0"/>
                <w:sz w:val="20"/>
                <w:szCs w:val="20"/>
              </w:rPr>
              <w:t>盈亏比</w:t>
            </w:r>
          </w:p>
        </w:tc>
        <w:tc>
          <w:tcPr>
            <w:tcW w:w="762" w:type="pct"/>
            <w:tcBorders>
              <w:top w:val="dotted" w:sz="4" w:space="0" w:color="auto"/>
              <w:left w:val="dotted" w:sz="4" w:space="0" w:color="auto"/>
              <w:bottom w:val="single" w:sz="12" w:space="0" w:color="BE0000"/>
              <w:right w:val="dotted" w:sz="4" w:space="0" w:color="auto"/>
            </w:tcBorders>
            <w:shd w:val="clear" w:color="auto" w:fill="auto"/>
            <w:noWrap/>
            <w:vAlign w:val="center"/>
          </w:tcPr>
          <w:p w:rsidR="00054C6B" w:rsidRPr="00C64AE1" w:rsidRDefault="00054C6B" w:rsidP="00AA08D4">
            <w:pPr>
              <w:jc w:val="center"/>
              <w:rPr>
                <w:rFonts w:ascii="楷体" w:eastAsia="楷体" w:hAnsi="楷体" w:cs="宋体"/>
                <w:sz w:val="20"/>
                <w:szCs w:val="20"/>
              </w:rPr>
            </w:pPr>
            <w:r w:rsidRPr="00C64AE1">
              <w:rPr>
                <w:rFonts w:ascii="楷体" w:eastAsia="楷体" w:hAnsi="楷体" w:cs="宋体" w:hint="eastAsia"/>
                <w:sz w:val="20"/>
                <w:szCs w:val="20"/>
              </w:rPr>
              <w:t>2.50</w:t>
            </w:r>
          </w:p>
        </w:tc>
        <w:tc>
          <w:tcPr>
            <w:tcW w:w="559" w:type="pct"/>
            <w:tcBorders>
              <w:top w:val="dotted" w:sz="4" w:space="0" w:color="auto"/>
              <w:left w:val="dotted" w:sz="4" w:space="0" w:color="auto"/>
              <w:bottom w:val="single" w:sz="12" w:space="0" w:color="BE0000"/>
              <w:right w:val="dotted" w:sz="4" w:space="0" w:color="auto"/>
            </w:tcBorders>
            <w:shd w:val="clear" w:color="auto" w:fill="auto"/>
            <w:noWrap/>
            <w:vAlign w:val="center"/>
          </w:tcPr>
          <w:p w:rsidR="00054C6B" w:rsidRPr="00C64AE1" w:rsidRDefault="00054C6B" w:rsidP="00AA08D4">
            <w:pPr>
              <w:jc w:val="center"/>
              <w:rPr>
                <w:rFonts w:ascii="楷体" w:eastAsia="楷体" w:hAnsi="楷体" w:cs="宋体"/>
                <w:sz w:val="20"/>
                <w:szCs w:val="20"/>
              </w:rPr>
            </w:pPr>
            <w:r w:rsidRPr="00C64AE1">
              <w:rPr>
                <w:rFonts w:ascii="楷体" w:eastAsia="楷体" w:hAnsi="楷体" w:cs="宋体" w:hint="eastAsia"/>
                <w:sz w:val="20"/>
                <w:szCs w:val="20"/>
              </w:rPr>
              <w:t>3.12</w:t>
            </w:r>
          </w:p>
        </w:tc>
        <w:tc>
          <w:tcPr>
            <w:tcW w:w="730" w:type="pct"/>
            <w:tcBorders>
              <w:top w:val="dotted" w:sz="4" w:space="0" w:color="auto"/>
              <w:left w:val="dotted" w:sz="4" w:space="0" w:color="auto"/>
              <w:bottom w:val="single" w:sz="12" w:space="0" w:color="BE0000"/>
              <w:right w:val="dotted" w:sz="4" w:space="0" w:color="auto"/>
            </w:tcBorders>
            <w:shd w:val="clear" w:color="auto" w:fill="auto"/>
            <w:noWrap/>
            <w:vAlign w:val="center"/>
          </w:tcPr>
          <w:p w:rsidR="00054C6B" w:rsidRPr="00C64AE1" w:rsidRDefault="00054C6B" w:rsidP="00AA08D4">
            <w:pPr>
              <w:keepNext/>
              <w:keepLines/>
              <w:widowControl/>
              <w:jc w:val="center"/>
              <w:rPr>
                <w:rFonts w:ascii="楷体" w:eastAsia="楷体" w:hAnsi="楷体" w:cs="宋体"/>
                <w:sz w:val="20"/>
                <w:szCs w:val="20"/>
              </w:rPr>
            </w:pPr>
            <w:r w:rsidRPr="00C64AE1">
              <w:rPr>
                <w:rFonts w:ascii="楷体" w:eastAsia="楷体" w:hAnsi="楷体" w:cs="宋体" w:hint="eastAsia"/>
                <w:sz w:val="20"/>
                <w:szCs w:val="20"/>
              </w:rPr>
              <w:t>2.83</w:t>
            </w:r>
          </w:p>
        </w:tc>
        <w:tc>
          <w:tcPr>
            <w:tcW w:w="730" w:type="pct"/>
            <w:tcBorders>
              <w:top w:val="dotted" w:sz="4" w:space="0" w:color="auto"/>
              <w:left w:val="dotted" w:sz="4" w:space="0" w:color="auto"/>
              <w:bottom w:val="single" w:sz="12" w:space="0" w:color="BE0000"/>
              <w:right w:val="dotted" w:sz="4" w:space="0" w:color="auto"/>
            </w:tcBorders>
            <w:vAlign w:val="center"/>
          </w:tcPr>
          <w:p w:rsidR="00054C6B" w:rsidRPr="00C64AE1" w:rsidRDefault="00054C6B" w:rsidP="00054C6B">
            <w:pPr>
              <w:keepNext/>
              <w:keepLines/>
              <w:widowControl/>
              <w:jc w:val="center"/>
              <w:rPr>
                <w:rFonts w:ascii="楷体" w:eastAsia="楷体" w:hAnsi="楷体" w:cs="宋体"/>
                <w:sz w:val="20"/>
                <w:szCs w:val="20"/>
              </w:rPr>
            </w:pPr>
            <w:r w:rsidRPr="00C64AE1">
              <w:rPr>
                <w:rFonts w:ascii="楷体" w:eastAsia="楷体" w:hAnsi="楷体" w:cs="宋体" w:hint="eastAsia"/>
                <w:sz w:val="20"/>
                <w:szCs w:val="20"/>
              </w:rPr>
              <w:t>2.01</w:t>
            </w:r>
          </w:p>
        </w:tc>
        <w:tc>
          <w:tcPr>
            <w:tcW w:w="728" w:type="pct"/>
            <w:tcBorders>
              <w:top w:val="dotted" w:sz="4" w:space="0" w:color="auto"/>
              <w:left w:val="dotted" w:sz="4" w:space="0" w:color="auto"/>
              <w:bottom w:val="single" w:sz="12" w:space="0" w:color="BE0000"/>
              <w:right w:val="dotted" w:sz="4" w:space="0" w:color="auto"/>
            </w:tcBorders>
          </w:tcPr>
          <w:p w:rsidR="00054C6B" w:rsidRPr="00C64AE1" w:rsidRDefault="00054C6B" w:rsidP="00AA08D4">
            <w:pPr>
              <w:jc w:val="center"/>
              <w:rPr>
                <w:rFonts w:ascii="楷体" w:eastAsia="楷体" w:hAnsi="楷体" w:cs="宋体"/>
                <w:sz w:val="20"/>
                <w:szCs w:val="20"/>
              </w:rPr>
            </w:pPr>
            <w:r w:rsidRPr="00C64AE1">
              <w:rPr>
                <w:rFonts w:ascii="楷体" w:eastAsia="楷体" w:hAnsi="楷体" w:cs="宋体" w:hint="eastAsia"/>
                <w:sz w:val="20"/>
                <w:szCs w:val="20"/>
              </w:rPr>
              <w:t>2.80</w:t>
            </w:r>
          </w:p>
        </w:tc>
        <w:tc>
          <w:tcPr>
            <w:tcW w:w="727" w:type="pct"/>
            <w:tcBorders>
              <w:top w:val="dotted" w:sz="4" w:space="0" w:color="auto"/>
              <w:left w:val="dotted" w:sz="4" w:space="0" w:color="auto"/>
              <w:bottom w:val="single" w:sz="12" w:space="0" w:color="BE0000"/>
              <w:right w:val="dotted" w:sz="4" w:space="0" w:color="auto"/>
            </w:tcBorders>
          </w:tcPr>
          <w:p w:rsidR="00054C6B" w:rsidRPr="00C64AE1" w:rsidRDefault="00054C6B" w:rsidP="00AA08D4">
            <w:pPr>
              <w:jc w:val="center"/>
              <w:rPr>
                <w:rFonts w:ascii="楷体" w:eastAsia="楷体" w:hAnsi="楷体" w:cs="宋体"/>
                <w:sz w:val="20"/>
                <w:szCs w:val="20"/>
              </w:rPr>
            </w:pPr>
            <w:r w:rsidRPr="00C64AE1">
              <w:rPr>
                <w:rFonts w:ascii="楷体" w:eastAsia="楷体" w:hAnsi="楷体" w:cs="宋体" w:hint="eastAsia"/>
                <w:sz w:val="20"/>
                <w:szCs w:val="20"/>
              </w:rPr>
              <w:t>3.29</w:t>
            </w:r>
          </w:p>
        </w:tc>
      </w:tr>
    </w:tbl>
    <w:p w:rsidR="00580C15" w:rsidRPr="00C64AE1" w:rsidRDefault="002B2FA9" w:rsidP="002B2FA9">
      <w:pPr>
        <w:widowControl/>
        <w:rPr>
          <w:rFonts w:ascii="楷体" w:eastAsia="楷体" w:hAnsi="楷体" w:cs="Times New Roman"/>
          <w:sz w:val="20"/>
          <w:szCs w:val="20"/>
        </w:rPr>
      </w:pPr>
      <w:r w:rsidRPr="00C64AE1">
        <w:rPr>
          <w:rFonts w:ascii="楷体" w:eastAsia="楷体" w:hAnsi="楷体" w:cs="Times New Roman" w:hint="eastAsia"/>
          <w:sz w:val="20"/>
          <w:szCs w:val="20"/>
        </w:rPr>
        <w:t>资料来源：中山证券研究所，最新判断日期：2018-11-2</w:t>
      </w:r>
      <w:r w:rsidR="00A01DB4" w:rsidRPr="00C64AE1">
        <w:rPr>
          <w:rFonts w:ascii="楷体" w:eastAsia="楷体" w:hAnsi="楷体" w:cs="Times New Roman" w:hint="eastAsia"/>
          <w:sz w:val="20"/>
          <w:szCs w:val="20"/>
        </w:rPr>
        <w:t>8</w:t>
      </w:r>
    </w:p>
    <w:p w:rsidR="00891D21" w:rsidRPr="00C64AE1" w:rsidRDefault="00891D21"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据回测，择时模型依据市场数据，对沪深主要指数判断基本达到：高盈亏比，相对较高的胜率，整体上保持净值稳定。</w:t>
      </w:r>
    </w:p>
    <w:p w:rsidR="002B2FA9" w:rsidRPr="00C64AE1" w:rsidRDefault="007958D9"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根据择时模型判断，市场数据与自适应算法下，对沪深主要指数的多空判断结果：</w:t>
      </w:r>
      <w:r w:rsidR="001C075D" w:rsidRPr="00C64AE1">
        <w:rPr>
          <w:rFonts w:ascii="楷体" w:eastAsia="楷体" w:hAnsi="楷体" w:cs="Times New Roman" w:hint="eastAsia"/>
          <w:b/>
        </w:rPr>
        <w:t>中长期</w:t>
      </w:r>
      <w:r w:rsidR="00A05048" w:rsidRPr="00C64AE1">
        <w:rPr>
          <w:rFonts w:ascii="楷体" w:eastAsia="楷体" w:hAnsi="楷体" w:cs="Times New Roman" w:hint="eastAsia"/>
          <w:b/>
        </w:rPr>
        <w:t>震荡</w:t>
      </w:r>
      <w:r w:rsidRPr="00C64AE1">
        <w:rPr>
          <w:rFonts w:ascii="楷体" w:eastAsia="楷体" w:hAnsi="楷体" w:cs="Times New Roman" w:hint="eastAsia"/>
          <w:b/>
        </w:rPr>
        <w:t>看空。</w:t>
      </w:r>
      <w:r w:rsidRPr="00C64AE1">
        <w:rPr>
          <w:rFonts w:ascii="楷体" w:eastAsia="楷体" w:hAnsi="楷体" w:cs="Times New Roman" w:hint="eastAsia"/>
        </w:rPr>
        <w:t>这与资金流、市场信心判断的结果趋同。</w:t>
      </w:r>
      <w:r w:rsidR="00A51D20" w:rsidRPr="00C64AE1">
        <w:rPr>
          <w:rFonts w:ascii="楷体" w:eastAsia="楷体" w:hAnsi="楷体" w:cs="Times New Roman" w:hint="eastAsia"/>
        </w:rPr>
        <w:t>此外，报告展示了自2018年以来，择时模型对市场主要指数的多空判断以及其择时净值的走势，详情如下所示：</w:t>
      </w:r>
    </w:p>
    <w:tbl>
      <w:tblPr>
        <w:tblW w:w="10157" w:type="dxa"/>
        <w:jc w:val="center"/>
        <w:tblLayout w:type="fixed"/>
        <w:tblCellMar>
          <w:left w:w="0" w:type="dxa"/>
          <w:right w:w="0" w:type="dxa"/>
        </w:tblCellMar>
        <w:tblLook w:val="01E0"/>
      </w:tblPr>
      <w:tblGrid>
        <w:gridCol w:w="5051"/>
        <w:gridCol w:w="56"/>
        <w:gridCol w:w="5050"/>
      </w:tblGrid>
      <w:tr w:rsidR="00A51D20" w:rsidRPr="00C64AE1" w:rsidTr="00AA08D4">
        <w:trPr>
          <w:trHeight w:hRule="exact" w:val="323"/>
          <w:jc w:val="center"/>
        </w:trPr>
        <w:tc>
          <w:tcPr>
            <w:tcW w:w="5051" w:type="dxa"/>
            <w:tcBorders>
              <w:bottom w:val="single" w:sz="12" w:space="0" w:color="CC0000"/>
            </w:tcBorders>
            <w:shd w:val="clear" w:color="auto" w:fill="auto"/>
            <w:noWrap/>
            <w:vAlign w:val="bottom"/>
          </w:tcPr>
          <w:p w:rsidR="00A51D20" w:rsidRPr="00C64AE1" w:rsidRDefault="00D45ED0" w:rsidP="004561E5">
            <w:pPr>
              <w:keepNext/>
              <w:keepLines/>
              <w:rPr>
                <w:rFonts w:ascii="楷体" w:eastAsia="楷体" w:hAnsi="楷体" w:cs="Times New Roman"/>
                <w:sz w:val="20"/>
                <w:szCs w:val="20"/>
              </w:rPr>
            </w:pPr>
            <w:r w:rsidRPr="00C64AE1">
              <w:rPr>
                <w:rFonts w:ascii="楷体" w:eastAsia="楷体" w:hAnsi="楷体" w:cs="Times New Roman" w:hint="eastAsia"/>
                <w:sz w:val="20"/>
                <w:szCs w:val="20"/>
              </w:rPr>
              <w:t xml:space="preserve">图22  </w:t>
            </w:r>
            <w:r w:rsidR="004561E5" w:rsidRPr="00C64AE1">
              <w:rPr>
                <w:rFonts w:ascii="楷体" w:eastAsia="楷体" w:hAnsi="楷体" w:cs="Times New Roman" w:hint="eastAsia"/>
                <w:sz w:val="20"/>
                <w:szCs w:val="20"/>
              </w:rPr>
              <w:t>（</w:t>
            </w:r>
            <w:r w:rsidR="00A51D20" w:rsidRPr="00C64AE1">
              <w:rPr>
                <w:rFonts w:ascii="楷体" w:eastAsia="楷体" w:hAnsi="楷体" w:cs="Times New Roman" w:hint="eastAsia"/>
                <w:sz w:val="20"/>
                <w:szCs w:val="20"/>
              </w:rPr>
              <w:t>上证综指多空判断及其净值趋势图</w:t>
            </w:r>
            <w:r w:rsidR="004561E5" w:rsidRPr="00C64AE1">
              <w:rPr>
                <w:rFonts w:ascii="楷体" w:eastAsia="楷体" w:hAnsi="楷体" w:cs="Times New Roman" w:hint="eastAsia"/>
                <w:sz w:val="20"/>
                <w:szCs w:val="20"/>
              </w:rPr>
              <w:t>）</w:t>
            </w:r>
          </w:p>
        </w:tc>
        <w:tc>
          <w:tcPr>
            <w:tcW w:w="56" w:type="dxa"/>
            <w:shd w:val="clear" w:color="auto" w:fill="auto"/>
            <w:vAlign w:val="bottom"/>
          </w:tcPr>
          <w:p w:rsidR="00A51D20" w:rsidRPr="00C64AE1" w:rsidRDefault="00A51D20" w:rsidP="00AA08D4">
            <w:pPr>
              <w:keepNext/>
              <w:keepLines/>
              <w:rPr>
                <w:rFonts w:ascii="楷体" w:eastAsia="楷体" w:hAnsi="楷体" w:cs="Times New Roman"/>
                <w:sz w:val="20"/>
                <w:szCs w:val="20"/>
              </w:rPr>
            </w:pPr>
          </w:p>
        </w:tc>
        <w:tc>
          <w:tcPr>
            <w:tcW w:w="5050" w:type="dxa"/>
            <w:tcBorders>
              <w:bottom w:val="single" w:sz="12" w:space="0" w:color="CC0000"/>
            </w:tcBorders>
            <w:shd w:val="clear" w:color="auto" w:fill="auto"/>
            <w:noWrap/>
            <w:vAlign w:val="bottom"/>
          </w:tcPr>
          <w:p w:rsidR="00A51D20" w:rsidRPr="00C64AE1" w:rsidRDefault="00D45ED0" w:rsidP="00D45ED0">
            <w:pPr>
              <w:keepNext/>
              <w:keepLines/>
              <w:rPr>
                <w:rFonts w:ascii="楷体" w:eastAsia="楷体" w:hAnsi="楷体" w:cs="Times New Roman"/>
                <w:sz w:val="20"/>
                <w:szCs w:val="20"/>
              </w:rPr>
            </w:pPr>
            <w:r w:rsidRPr="00C64AE1">
              <w:rPr>
                <w:rFonts w:ascii="楷体" w:eastAsia="楷体" w:hAnsi="楷体" w:cs="Times New Roman" w:hint="eastAsia"/>
                <w:sz w:val="20"/>
                <w:szCs w:val="20"/>
              </w:rPr>
              <w:t xml:space="preserve">图23  </w:t>
            </w:r>
            <w:r w:rsidR="004561E5" w:rsidRPr="00C64AE1">
              <w:rPr>
                <w:rFonts w:ascii="楷体" w:eastAsia="楷体" w:hAnsi="楷体" w:cs="Times New Roman" w:hint="eastAsia"/>
                <w:sz w:val="20"/>
                <w:szCs w:val="20"/>
              </w:rPr>
              <w:t>（</w:t>
            </w:r>
            <w:r w:rsidR="00A51D20" w:rsidRPr="00C64AE1">
              <w:rPr>
                <w:rFonts w:ascii="楷体" w:eastAsia="楷体" w:hAnsi="楷体" w:cs="Times New Roman" w:hint="eastAsia"/>
                <w:sz w:val="20"/>
                <w:szCs w:val="20"/>
              </w:rPr>
              <w:t>沪深300多空判断及其净值趋势图</w:t>
            </w:r>
            <w:r w:rsidR="004561E5" w:rsidRPr="00C64AE1">
              <w:rPr>
                <w:rFonts w:ascii="楷体" w:eastAsia="楷体" w:hAnsi="楷体" w:cs="Times New Roman" w:hint="eastAsia"/>
                <w:sz w:val="20"/>
                <w:szCs w:val="20"/>
              </w:rPr>
              <w:t>）</w:t>
            </w:r>
          </w:p>
        </w:tc>
      </w:tr>
      <w:tr w:rsidR="00A51D20" w:rsidRPr="00C64AE1" w:rsidTr="00AA08D4">
        <w:trPr>
          <w:trHeight w:hRule="exact" w:val="3160"/>
          <w:jc w:val="center"/>
        </w:trPr>
        <w:tc>
          <w:tcPr>
            <w:tcW w:w="5051" w:type="dxa"/>
            <w:tcBorders>
              <w:top w:val="single" w:sz="12" w:space="0" w:color="CC0000"/>
              <w:bottom w:val="single" w:sz="12" w:space="0" w:color="CC0000"/>
            </w:tcBorders>
            <w:shd w:val="clear" w:color="auto" w:fill="auto"/>
            <w:noWrap/>
          </w:tcPr>
          <w:p w:rsidR="00A51D20" w:rsidRPr="00C64AE1" w:rsidRDefault="000615C4" w:rsidP="00AA08D4">
            <w:pPr>
              <w:keepNext/>
              <w:keepLines/>
              <w:jc w:val="center"/>
              <w:rPr>
                <w:rFonts w:ascii="楷体" w:eastAsia="楷体" w:hAnsi="楷体" w:cs="Times New Roman"/>
                <w:szCs w:val="24"/>
              </w:rPr>
            </w:pPr>
            <w:r w:rsidRPr="00C64AE1">
              <w:rPr>
                <w:rFonts w:ascii="楷体" w:eastAsia="楷体" w:hAnsi="楷体" w:cs="Times New Roman"/>
                <w:noProof/>
                <w:szCs w:val="24"/>
              </w:rPr>
              <w:drawing>
                <wp:inline distT="0" distB="0" distL="0" distR="0">
                  <wp:extent cx="3207385" cy="1927860"/>
                  <wp:effectExtent l="19050" t="0" r="0" b="0"/>
                  <wp:docPr id="25" name="图片 24" descr="微信图片_20190109095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109095659.png"/>
                          <pic:cNvPicPr/>
                        </pic:nvPicPr>
                        <pic:blipFill>
                          <a:blip r:embed="rId39"/>
                          <a:stretch>
                            <a:fillRect/>
                          </a:stretch>
                        </pic:blipFill>
                        <pic:spPr>
                          <a:xfrm>
                            <a:off x="0" y="0"/>
                            <a:ext cx="3207385" cy="1927860"/>
                          </a:xfrm>
                          <a:prstGeom prst="rect">
                            <a:avLst/>
                          </a:prstGeom>
                        </pic:spPr>
                      </pic:pic>
                    </a:graphicData>
                  </a:graphic>
                </wp:inline>
              </w:drawing>
            </w:r>
          </w:p>
        </w:tc>
        <w:tc>
          <w:tcPr>
            <w:tcW w:w="56" w:type="dxa"/>
            <w:shd w:val="clear" w:color="auto" w:fill="FFFFFF"/>
          </w:tcPr>
          <w:p w:rsidR="00A51D20" w:rsidRPr="00C64AE1" w:rsidRDefault="00A51D20" w:rsidP="00AA08D4">
            <w:pPr>
              <w:keepNext/>
              <w:keepLines/>
              <w:ind w:firstLine="420"/>
              <w:jc w:val="center"/>
              <w:rPr>
                <w:rFonts w:ascii="楷体" w:eastAsia="楷体" w:hAnsi="楷体" w:cs="Times New Roman"/>
                <w:szCs w:val="24"/>
              </w:rPr>
            </w:pPr>
          </w:p>
        </w:tc>
        <w:tc>
          <w:tcPr>
            <w:tcW w:w="5050" w:type="dxa"/>
            <w:tcBorders>
              <w:top w:val="single" w:sz="12" w:space="0" w:color="CC0000"/>
              <w:bottom w:val="single" w:sz="12" w:space="0" w:color="CC0000"/>
            </w:tcBorders>
            <w:shd w:val="clear" w:color="auto" w:fill="auto"/>
            <w:noWrap/>
          </w:tcPr>
          <w:p w:rsidR="00A51D20" w:rsidRPr="00C64AE1" w:rsidRDefault="000615C4" w:rsidP="00AA08D4">
            <w:pPr>
              <w:keepNext/>
              <w:keepLines/>
              <w:jc w:val="center"/>
              <w:rPr>
                <w:rFonts w:ascii="楷体" w:eastAsia="楷体" w:hAnsi="楷体" w:cs="Times New Roman"/>
                <w:szCs w:val="24"/>
              </w:rPr>
            </w:pPr>
            <w:r w:rsidRPr="00C64AE1">
              <w:rPr>
                <w:rFonts w:ascii="楷体" w:eastAsia="楷体" w:hAnsi="楷体" w:cs="Times New Roman"/>
                <w:noProof/>
                <w:szCs w:val="24"/>
              </w:rPr>
              <w:drawing>
                <wp:inline distT="0" distB="0" distL="0" distR="0">
                  <wp:extent cx="3202958" cy="1932317"/>
                  <wp:effectExtent l="19050" t="0" r="0" b="0"/>
                  <wp:docPr id="43" name="图片 42" descr="微信图片_201901090956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1090956594.png"/>
                          <pic:cNvPicPr/>
                        </pic:nvPicPr>
                        <pic:blipFill>
                          <a:blip r:embed="rId40"/>
                          <a:stretch>
                            <a:fillRect/>
                          </a:stretch>
                        </pic:blipFill>
                        <pic:spPr>
                          <a:xfrm>
                            <a:off x="0" y="0"/>
                            <a:ext cx="3206750" cy="1934604"/>
                          </a:xfrm>
                          <a:prstGeom prst="rect">
                            <a:avLst/>
                          </a:prstGeom>
                        </pic:spPr>
                      </pic:pic>
                    </a:graphicData>
                  </a:graphic>
                </wp:inline>
              </w:drawing>
            </w:r>
          </w:p>
        </w:tc>
      </w:tr>
      <w:tr w:rsidR="00A51D20" w:rsidRPr="00C64AE1" w:rsidTr="00AA08D4">
        <w:trPr>
          <w:trHeight w:val="256"/>
          <w:jc w:val="center"/>
        </w:trPr>
        <w:tc>
          <w:tcPr>
            <w:tcW w:w="5051" w:type="dxa"/>
            <w:tcBorders>
              <w:top w:val="single" w:sz="12" w:space="0" w:color="CC0000"/>
            </w:tcBorders>
            <w:shd w:val="clear" w:color="auto" w:fill="auto"/>
            <w:noWrap/>
          </w:tcPr>
          <w:p w:rsidR="00A51D20" w:rsidRPr="00C64AE1" w:rsidRDefault="00A51D20" w:rsidP="00AA08D4">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c>
          <w:tcPr>
            <w:tcW w:w="56" w:type="dxa"/>
            <w:shd w:val="clear" w:color="auto" w:fill="auto"/>
          </w:tcPr>
          <w:p w:rsidR="00A51D20" w:rsidRPr="00C64AE1" w:rsidRDefault="00A51D20" w:rsidP="00AA08D4">
            <w:pPr>
              <w:keepNext/>
              <w:keepLines/>
              <w:rPr>
                <w:rFonts w:ascii="楷体" w:eastAsia="楷体" w:hAnsi="楷体" w:cs="Times New Roman"/>
                <w:sz w:val="20"/>
                <w:szCs w:val="20"/>
              </w:rPr>
            </w:pPr>
          </w:p>
        </w:tc>
        <w:tc>
          <w:tcPr>
            <w:tcW w:w="5050" w:type="dxa"/>
            <w:tcBorders>
              <w:top w:val="single" w:sz="12" w:space="0" w:color="CC0000"/>
            </w:tcBorders>
            <w:shd w:val="clear" w:color="auto" w:fill="auto"/>
            <w:noWrap/>
          </w:tcPr>
          <w:p w:rsidR="00A51D20" w:rsidRPr="00C64AE1" w:rsidRDefault="00A51D20" w:rsidP="00AA08D4">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r>
    </w:tbl>
    <w:p w:rsidR="007958D9" w:rsidRPr="00C64AE1" w:rsidRDefault="007958D9" w:rsidP="00446770">
      <w:pPr>
        <w:widowControl/>
        <w:spacing w:beforeLines="50" w:line="60" w:lineRule="exact"/>
        <w:ind w:leftChars="1200" w:left="2520" w:firstLineChars="200" w:firstLine="420"/>
        <w:rPr>
          <w:rFonts w:ascii="楷体" w:eastAsia="楷体" w:hAnsi="楷体" w:cs="Times New Roman"/>
        </w:rPr>
      </w:pPr>
    </w:p>
    <w:tbl>
      <w:tblPr>
        <w:tblW w:w="10157" w:type="dxa"/>
        <w:jc w:val="center"/>
        <w:tblLayout w:type="fixed"/>
        <w:tblCellMar>
          <w:left w:w="0" w:type="dxa"/>
          <w:right w:w="0" w:type="dxa"/>
        </w:tblCellMar>
        <w:tblLook w:val="01E0"/>
      </w:tblPr>
      <w:tblGrid>
        <w:gridCol w:w="5051"/>
        <w:gridCol w:w="56"/>
        <w:gridCol w:w="5050"/>
      </w:tblGrid>
      <w:tr w:rsidR="00A51D20" w:rsidRPr="00C64AE1" w:rsidTr="00AA08D4">
        <w:trPr>
          <w:trHeight w:hRule="exact" w:val="323"/>
          <w:jc w:val="center"/>
        </w:trPr>
        <w:tc>
          <w:tcPr>
            <w:tcW w:w="5051" w:type="dxa"/>
            <w:tcBorders>
              <w:bottom w:val="single" w:sz="12" w:space="0" w:color="CC0000"/>
            </w:tcBorders>
            <w:shd w:val="clear" w:color="auto" w:fill="auto"/>
            <w:noWrap/>
            <w:vAlign w:val="bottom"/>
          </w:tcPr>
          <w:p w:rsidR="00A51D20" w:rsidRPr="00C64AE1" w:rsidRDefault="00D45ED0" w:rsidP="00D45ED0">
            <w:pPr>
              <w:keepNext/>
              <w:keepLines/>
              <w:rPr>
                <w:rFonts w:ascii="楷体" w:eastAsia="楷体" w:hAnsi="楷体" w:cs="Times New Roman"/>
                <w:sz w:val="20"/>
                <w:szCs w:val="20"/>
              </w:rPr>
            </w:pPr>
            <w:r w:rsidRPr="00C64AE1">
              <w:rPr>
                <w:rFonts w:ascii="楷体" w:eastAsia="楷体" w:hAnsi="楷体" w:cs="Times New Roman" w:hint="eastAsia"/>
                <w:sz w:val="20"/>
                <w:szCs w:val="20"/>
              </w:rPr>
              <w:t xml:space="preserve">图24  </w:t>
            </w:r>
            <w:r w:rsidR="004561E5" w:rsidRPr="00C64AE1">
              <w:rPr>
                <w:rFonts w:ascii="楷体" w:eastAsia="楷体" w:hAnsi="楷体" w:cs="Times New Roman" w:hint="eastAsia"/>
                <w:sz w:val="20"/>
                <w:szCs w:val="20"/>
              </w:rPr>
              <w:t>（</w:t>
            </w:r>
            <w:r w:rsidR="000615C4" w:rsidRPr="00C64AE1">
              <w:rPr>
                <w:rFonts w:ascii="楷体" w:eastAsia="楷体" w:hAnsi="楷体" w:cs="Times New Roman" w:hint="eastAsia"/>
                <w:sz w:val="20"/>
                <w:szCs w:val="20"/>
              </w:rPr>
              <w:t>中证500</w:t>
            </w:r>
            <w:r w:rsidR="00A51D20" w:rsidRPr="00C64AE1">
              <w:rPr>
                <w:rFonts w:ascii="楷体" w:eastAsia="楷体" w:hAnsi="楷体" w:cs="Times New Roman" w:hint="eastAsia"/>
                <w:sz w:val="20"/>
                <w:szCs w:val="20"/>
              </w:rPr>
              <w:t>多空判断及其净值趋势图</w:t>
            </w:r>
            <w:r w:rsidR="004561E5" w:rsidRPr="00C64AE1">
              <w:rPr>
                <w:rFonts w:ascii="楷体" w:eastAsia="楷体" w:hAnsi="楷体" w:cs="Times New Roman" w:hint="eastAsia"/>
                <w:sz w:val="20"/>
                <w:szCs w:val="20"/>
              </w:rPr>
              <w:t>）</w:t>
            </w:r>
          </w:p>
        </w:tc>
        <w:tc>
          <w:tcPr>
            <w:tcW w:w="56" w:type="dxa"/>
            <w:shd w:val="clear" w:color="auto" w:fill="auto"/>
            <w:vAlign w:val="bottom"/>
          </w:tcPr>
          <w:p w:rsidR="00A51D20" w:rsidRPr="00C64AE1" w:rsidRDefault="00A51D20" w:rsidP="00AA08D4">
            <w:pPr>
              <w:keepNext/>
              <w:keepLines/>
              <w:rPr>
                <w:rFonts w:ascii="楷体" w:eastAsia="楷体" w:hAnsi="楷体" w:cs="Times New Roman"/>
                <w:sz w:val="20"/>
                <w:szCs w:val="20"/>
              </w:rPr>
            </w:pPr>
          </w:p>
        </w:tc>
        <w:tc>
          <w:tcPr>
            <w:tcW w:w="5050" w:type="dxa"/>
            <w:tcBorders>
              <w:bottom w:val="single" w:sz="12" w:space="0" w:color="CC0000"/>
            </w:tcBorders>
            <w:shd w:val="clear" w:color="auto" w:fill="auto"/>
            <w:noWrap/>
            <w:vAlign w:val="bottom"/>
          </w:tcPr>
          <w:p w:rsidR="00A51D20" w:rsidRPr="00C64AE1" w:rsidRDefault="00D45ED0" w:rsidP="00D45ED0">
            <w:pPr>
              <w:keepNext/>
              <w:keepLines/>
              <w:rPr>
                <w:rFonts w:ascii="楷体" w:eastAsia="楷体" w:hAnsi="楷体" w:cs="Times New Roman"/>
                <w:sz w:val="20"/>
                <w:szCs w:val="20"/>
              </w:rPr>
            </w:pPr>
            <w:r w:rsidRPr="00C64AE1">
              <w:rPr>
                <w:rFonts w:ascii="楷体" w:eastAsia="楷体" w:hAnsi="楷体" w:cs="Times New Roman" w:hint="eastAsia"/>
                <w:sz w:val="20"/>
                <w:szCs w:val="20"/>
              </w:rPr>
              <w:t xml:space="preserve">图25  </w:t>
            </w:r>
            <w:r w:rsidR="004561E5" w:rsidRPr="00C64AE1">
              <w:rPr>
                <w:rFonts w:ascii="楷体" w:eastAsia="楷体" w:hAnsi="楷体" w:cs="Times New Roman" w:hint="eastAsia"/>
                <w:sz w:val="20"/>
                <w:szCs w:val="20"/>
              </w:rPr>
              <w:t>（</w:t>
            </w:r>
            <w:r w:rsidR="00A51D20" w:rsidRPr="00C64AE1">
              <w:rPr>
                <w:rFonts w:ascii="楷体" w:eastAsia="楷体" w:hAnsi="楷体" w:cs="Times New Roman" w:hint="eastAsia"/>
                <w:sz w:val="20"/>
                <w:szCs w:val="20"/>
              </w:rPr>
              <w:t>创业板指多空判断及其净值趋势图</w:t>
            </w:r>
            <w:r w:rsidR="004561E5" w:rsidRPr="00C64AE1">
              <w:rPr>
                <w:rFonts w:ascii="楷体" w:eastAsia="楷体" w:hAnsi="楷体" w:cs="Times New Roman" w:hint="eastAsia"/>
                <w:sz w:val="20"/>
                <w:szCs w:val="20"/>
              </w:rPr>
              <w:t>）</w:t>
            </w:r>
          </w:p>
        </w:tc>
      </w:tr>
      <w:tr w:rsidR="00A51D20" w:rsidRPr="00C64AE1" w:rsidTr="00AA08D4">
        <w:trPr>
          <w:trHeight w:hRule="exact" w:val="3160"/>
          <w:jc w:val="center"/>
        </w:trPr>
        <w:tc>
          <w:tcPr>
            <w:tcW w:w="5051" w:type="dxa"/>
            <w:tcBorders>
              <w:top w:val="single" w:sz="12" w:space="0" w:color="CC0000"/>
              <w:bottom w:val="single" w:sz="12" w:space="0" w:color="CC0000"/>
            </w:tcBorders>
            <w:shd w:val="clear" w:color="auto" w:fill="auto"/>
            <w:noWrap/>
          </w:tcPr>
          <w:p w:rsidR="00A51D20" w:rsidRPr="00C64AE1" w:rsidRDefault="000615C4" w:rsidP="00AA08D4">
            <w:pPr>
              <w:keepNext/>
              <w:keepLines/>
              <w:jc w:val="center"/>
              <w:rPr>
                <w:rFonts w:ascii="楷体" w:eastAsia="楷体" w:hAnsi="楷体" w:cs="Times New Roman"/>
                <w:szCs w:val="24"/>
              </w:rPr>
            </w:pPr>
            <w:r w:rsidRPr="00C64AE1">
              <w:rPr>
                <w:rFonts w:ascii="楷体" w:eastAsia="楷体" w:hAnsi="楷体" w:cs="Times New Roman"/>
                <w:noProof/>
                <w:szCs w:val="24"/>
              </w:rPr>
              <w:drawing>
                <wp:inline distT="0" distB="0" distL="0" distR="0">
                  <wp:extent cx="3207385" cy="1949450"/>
                  <wp:effectExtent l="19050" t="0" r="0" b="0"/>
                  <wp:docPr id="42" name="图片 41" descr="微信图片_20190109095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1090956593.png"/>
                          <pic:cNvPicPr/>
                        </pic:nvPicPr>
                        <pic:blipFill>
                          <a:blip r:embed="rId41"/>
                          <a:stretch>
                            <a:fillRect/>
                          </a:stretch>
                        </pic:blipFill>
                        <pic:spPr>
                          <a:xfrm>
                            <a:off x="0" y="0"/>
                            <a:ext cx="3207385" cy="1949450"/>
                          </a:xfrm>
                          <a:prstGeom prst="rect">
                            <a:avLst/>
                          </a:prstGeom>
                        </pic:spPr>
                      </pic:pic>
                    </a:graphicData>
                  </a:graphic>
                </wp:inline>
              </w:drawing>
            </w:r>
          </w:p>
        </w:tc>
        <w:tc>
          <w:tcPr>
            <w:tcW w:w="56" w:type="dxa"/>
            <w:shd w:val="clear" w:color="auto" w:fill="FFFFFF"/>
          </w:tcPr>
          <w:p w:rsidR="00A51D20" w:rsidRPr="00C64AE1" w:rsidRDefault="00A51D20" w:rsidP="00AA08D4">
            <w:pPr>
              <w:keepNext/>
              <w:keepLines/>
              <w:ind w:firstLine="420"/>
              <w:jc w:val="center"/>
              <w:rPr>
                <w:rFonts w:ascii="楷体" w:eastAsia="楷体" w:hAnsi="楷体" w:cs="Times New Roman"/>
                <w:szCs w:val="24"/>
              </w:rPr>
            </w:pPr>
          </w:p>
        </w:tc>
        <w:tc>
          <w:tcPr>
            <w:tcW w:w="5050" w:type="dxa"/>
            <w:tcBorders>
              <w:top w:val="single" w:sz="12" w:space="0" w:color="CC0000"/>
              <w:bottom w:val="single" w:sz="12" w:space="0" w:color="CC0000"/>
            </w:tcBorders>
            <w:shd w:val="clear" w:color="auto" w:fill="auto"/>
            <w:noWrap/>
          </w:tcPr>
          <w:p w:rsidR="00A51D20" w:rsidRPr="00C64AE1" w:rsidRDefault="000615C4" w:rsidP="00AA08D4">
            <w:pPr>
              <w:keepNext/>
              <w:keepLines/>
              <w:jc w:val="center"/>
              <w:rPr>
                <w:rFonts w:ascii="楷体" w:eastAsia="楷体" w:hAnsi="楷体" w:cs="Times New Roman"/>
                <w:szCs w:val="24"/>
              </w:rPr>
            </w:pPr>
            <w:r w:rsidRPr="00C64AE1">
              <w:rPr>
                <w:rFonts w:ascii="楷体" w:eastAsia="楷体" w:hAnsi="楷体" w:cs="Times New Roman"/>
                <w:noProof/>
                <w:szCs w:val="24"/>
              </w:rPr>
              <w:drawing>
                <wp:inline distT="0" distB="0" distL="0" distR="0">
                  <wp:extent cx="3207385" cy="1927860"/>
                  <wp:effectExtent l="19050" t="0" r="0" b="0"/>
                  <wp:docPr id="36" name="图片 26" descr="微信图片_201901090956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1090956592.png"/>
                          <pic:cNvPicPr/>
                        </pic:nvPicPr>
                        <pic:blipFill>
                          <a:blip r:embed="rId42"/>
                          <a:stretch>
                            <a:fillRect/>
                          </a:stretch>
                        </pic:blipFill>
                        <pic:spPr>
                          <a:xfrm>
                            <a:off x="0" y="0"/>
                            <a:ext cx="3207385" cy="1927860"/>
                          </a:xfrm>
                          <a:prstGeom prst="rect">
                            <a:avLst/>
                          </a:prstGeom>
                        </pic:spPr>
                      </pic:pic>
                    </a:graphicData>
                  </a:graphic>
                </wp:inline>
              </w:drawing>
            </w:r>
          </w:p>
        </w:tc>
      </w:tr>
      <w:tr w:rsidR="00A51D20" w:rsidRPr="00C64AE1" w:rsidTr="00AA08D4">
        <w:trPr>
          <w:trHeight w:val="256"/>
          <w:jc w:val="center"/>
        </w:trPr>
        <w:tc>
          <w:tcPr>
            <w:tcW w:w="5051" w:type="dxa"/>
            <w:tcBorders>
              <w:top w:val="single" w:sz="12" w:space="0" w:color="CC0000"/>
            </w:tcBorders>
            <w:shd w:val="clear" w:color="auto" w:fill="auto"/>
            <w:noWrap/>
          </w:tcPr>
          <w:p w:rsidR="00A51D20" w:rsidRPr="00C64AE1" w:rsidRDefault="00A51D20" w:rsidP="00AA08D4">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c>
          <w:tcPr>
            <w:tcW w:w="56" w:type="dxa"/>
            <w:shd w:val="clear" w:color="auto" w:fill="auto"/>
          </w:tcPr>
          <w:p w:rsidR="00A51D20" w:rsidRPr="00C64AE1" w:rsidRDefault="00A51D20" w:rsidP="00AA08D4">
            <w:pPr>
              <w:keepNext/>
              <w:keepLines/>
              <w:rPr>
                <w:rFonts w:ascii="楷体" w:eastAsia="楷体" w:hAnsi="楷体" w:cs="Times New Roman"/>
                <w:sz w:val="20"/>
                <w:szCs w:val="20"/>
              </w:rPr>
            </w:pPr>
          </w:p>
        </w:tc>
        <w:tc>
          <w:tcPr>
            <w:tcW w:w="5050" w:type="dxa"/>
            <w:tcBorders>
              <w:top w:val="single" w:sz="12" w:space="0" w:color="CC0000"/>
            </w:tcBorders>
            <w:shd w:val="clear" w:color="auto" w:fill="auto"/>
            <w:noWrap/>
          </w:tcPr>
          <w:p w:rsidR="00A51D20" w:rsidRPr="00C64AE1" w:rsidRDefault="00A51D20" w:rsidP="00AA08D4">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r>
    </w:tbl>
    <w:p w:rsidR="00A51D20" w:rsidRPr="00C64AE1" w:rsidRDefault="00A51D20" w:rsidP="00446770">
      <w:pPr>
        <w:widowControl/>
        <w:spacing w:beforeLines="50" w:line="60" w:lineRule="exact"/>
        <w:ind w:leftChars="1200" w:left="2520" w:firstLineChars="200" w:firstLine="420"/>
        <w:rPr>
          <w:rFonts w:ascii="楷体" w:eastAsia="楷体" w:hAnsi="楷体" w:cs="Times New Roman"/>
        </w:rPr>
      </w:pPr>
    </w:p>
    <w:tbl>
      <w:tblPr>
        <w:tblW w:w="10157" w:type="dxa"/>
        <w:jc w:val="center"/>
        <w:tblLayout w:type="fixed"/>
        <w:tblCellMar>
          <w:left w:w="0" w:type="dxa"/>
          <w:right w:w="0" w:type="dxa"/>
        </w:tblCellMar>
        <w:tblLook w:val="01E0"/>
      </w:tblPr>
      <w:tblGrid>
        <w:gridCol w:w="5051"/>
        <w:gridCol w:w="56"/>
        <w:gridCol w:w="5050"/>
      </w:tblGrid>
      <w:tr w:rsidR="00A51D20" w:rsidRPr="00C64AE1" w:rsidTr="00AA08D4">
        <w:trPr>
          <w:trHeight w:hRule="exact" w:val="323"/>
          <w:jc w:val="center"/>
        </w:trPr>
        <w:tc>
          <w:tcPr>
            <w:tcW w:w="5051" w:type="dxa"/>
            <w:tcBorders>
              <w:bottom w:val="single" w:sz="12" w:space="0" w:color="CC0000"/>
            </w:tcBorders>
            <w:shd w:val="clear" w:color="auto" w:fill="auto"/>
            <w:noWrap/>
            <w:vAlign w:val="bottom"/>
          </w:tcPr>
          <w:p w:rsidR="00A51D20" w:rsidRPr="0002415A" w:rsidRDefault="00A51D20" w:rsidP="00C50331">
            <w:pPr>
              <w:keepNext/>
              <w:keepLines/>
              <w:rPr>
                <w:rFonts w:ascii="楷体" w:eastAsia="楷体" w:hAnsi="楷体" w:cs="Times New Roman"/>
                <w:color w:val="FF0000"/>
                <w:sz w:val="20"/>
                <w:szCs w:val="20"/>
              </w:rPr>
            </w:pPr>
            <w:r w:rsidRPr="0002415A">
              <w:rPr>
                <w:rFonts w:ascii="楷体" w:eastAsia="楷体" w:hAnsi="楷体" w:cs="Times New Roman"/>
                <w:color w:val="FF0000"/>
                <w:sz w:val="20"/>
                <w:szCs w:val="20"/>
              </w:rPr>
              <w:lastRenderedPageBreak/>
              <w:t>图</w:t>
            </w:r>
            <w:r w:rsidR="00A01DB4" w:rsidRPr="0002415A">
              <w:rPr>
                <w:rFonts w:ascii="楷体" w:eastAsia="楷体" w:hAnsi="楷体" w:cs="Times New Roman" w:hint="eastAsia"/>
                <w:color w:val="FF0000"/>
                <w:sz w:val="20"/>
                <w:szCs w:val="20"/>
              </w:rPr>
              <w:t>26</w:t>
            </w:r>
            <w:r w:rsidRPr="0002415A">
              <w:rPr>
                <w:rFonts w:ascii="楷体" w:eastAsia="楷体" w:hAnsi="楷体" w:cs="Times New Roman"/>
                <w:color w:val="FF0000"/>
                <w:sz w:val="20"/>
                <w:szCs w:val="20"/>
              </w:rPr>
              <w:t xml:space="preserve">  </w:t>
            </w:r>
            <w:r w:rsidRPr="0002415A">
              <w:rPr>
                <w:rFonts w:ascii="楷体" w:eastAsia="楷体" w:hAnsi="楷体" w:cs="Times New Roman" w:hint="eastAsia"/>
                <w:color w:val="FF0000"/>
                <w:sz w:val="20"/>
                <w:szCs w:val="20"/>
              </w:rPr>
              <w:t>(</w:t>
            </w:r>
            <w:r w:rsidR="00874D2B" w:rsidRPr="0002415A">
              <w:rPr>
                <w:rFonts w:ascii="楷体" w:eastAsia="楷体" w:hAnsi="楷体" w:cs="Times New Roman" w:hint="eastAsia"/>
                <w:color w:val="FF0000"/>
                <w:sz w:val="20"/>
                <w:szCs w:val="20"/>
              </w:rPr>
              <w:t>中小板指</w:t>
            </w:r>
            <w:r w:rsidRPr="0002415A">
              <w:rPr>
                <w:rFonts w:ascii="楷体" w:eastAsia="楷体" w:hAnsi="楷体" w:cs="Times New Roman" w:hint="eastAsia"/>
                <w:color w:val="FF0000"/>
                <w:sz w:val="20"/>
                <w:szCs w:val="20"/>
              </w:rPr>
              <w:t>多空判断及其净值趋势图)</w:t>
            </w:r>
          </w:p>
        </w:tc>
        <w:tc>
          <w:tcPr>
            <w:tcW w:w="56" w:type="dxa"/>
            <w:shd w:val="clear" w:color="auto" w:fill="auto"/>
            <w:vAlign w:val="bottom"/>
          </w:tcPr>
          <w:p w:rsidR="00A51D20" w:rsidRPr="0002415A" w:rsidRDefault="00A51D20" w:rsidP="00C50331">
            <w:pPr>
              <w:keepNext/>
              <w:keepLines/>
              <w:rPr>
                <w:rFonts w:ascii="楷体" w:eastAsia="楷体" w:hAnsi="楷体" w:cs="Times New Roman"/>
                <w:color w:val="FF0000"/>
                <w:sz w:val="20"/>
                <w:szCs w:val="20"/>
              </w:rPr>
            </w:pPr>
          </w:p>
        </w:tc>
        <w:tc>
          <w:tcPr>
            <w:tcW w:w="5050" w:type="dxa"/>
            <w:tcBorders>
              <w:bottom w:val="single" w:sz="12" w:space="0" w:color="CC0000"/>
            </w:tcBorders>
            <w:shd w:val="clear" w:color="auto" w:fill="auto"/>
            <w:noWrap/>
            <w:vAlign w:val="bottom"/>
          </w:tcPr>
          <w:p w:rsidR="00A51D20" w:rsidRPr="0002415A" w:rsidRDefault="00A51D20" w:rsidP="00C50331">
            <w:pPr>
              <w:keepNext/>
              <w:keepLines/>
              <w:rPr>
                <w:rFonts w:ascii="楷体" w:eastAsia="楷体" w:hAnsi="楷体" w:cs="Times New Roman"/>
                <w:color w:val="FF0000"/>
                <w:sz w:val="20"/>
                <w:szCs w:val="20"/>
              </w:rPr>
            </w:pPr>
            <w:r w:rsidRPr="0002415A">
              <w:rPr>
                <w:rFonts w:ascii="楷体" w:eastAsia="楷体" w:hAnsi="楷体" w:cs="Times New Roman"/>
                <w:color w:val="FF0000"/>
                <w:sz w:val="20"/>
                <w:szCs w:val="20"/>
              </w:rPr>
              <w:t>图</w:t>
            </w:r>
            <w:r w:rsidR="00A01DB4" w:rsidRPr="0002415A">
              <w:rPr>
                <w:rFonts w:ascii="楷体" w:eastAsia="楷体" w:hAnsi="楷体" w:cs="Times New Roman" w:hint="eastAsia"/>
                <w:color w:val="FF0000"/>
                <w:sz w:val="20"/>
                <w:szCs w:val="20"/>
              </w:rPr>
              <w:t>27</w:t>
            </w:r>
            <w:r w:rsidRPr="0002415A">
              <w:rPr>
                <w:rFonts w:ascii="楷体" w:eastAsia="楷体" w:hAnsi="楷体" w:cs="Times New Roman"/>
                <w:color w:val="FF0000"/>
                <w:sz w:val="20"/>
                <w:szCs w:val="20"/>
              </w:rPr>
              <w:t xml:space="preserve">  </w:t>
            </w:r>
            <w:r w:rsidRPr="0002415A">
              <w:rPr>
                <w:rFonts w:ascii="楷体" w:eastAsia="楷体" w:hAnsi="楷体" w:cs="Times New Roman" w:hint="eastAsia"/>
                <w:color w:val="FF0000"/>
                <w:sz w:val="20"/>
                <w:szCs w:val="20"/>
              </w:rPr>
              <w:t>(中证1000多空判断及其净值趋势图)</w:t>
            </w:r>
          </w:p>
        </w:tc>
      </w:tr>
      <w:tr w:rsidR="00A51D20" w:rsidRPr="00C64AE1" w:rsidTr="00AA08D4">
        <w:trPr>
          <w:trHeight w:hRule="exact" w:val="3160"/>
          <w:jc w:val="center"/>
        </w:trPr>
        <w:tc>
          <w:tcPr>
            <w:tcW w:w="5051" w:type="dxa"/>
            <w:tcBorders>
              <w:top w:val="single" w:sz="12" w:space="0" w:color="CC0000"/>
              <w:bottom w:val="single" w:sz="12" w:space="0" w:color="CC0000"/>
            </w:tcBorders>
            <w:shd w:val="clear" w:color="auto" w:fill="auto"/>
            <w:noWrap/>
          </w:tcPr>
          <w:p w:rsidR="00A51D20" w:rsidRPr="00C64AE1" w:rsidRDefault="00874D2B" w:rsidP="00C50331">
            <w:pPr>
              <w:keepNext/>
              <w:keepLines/>
              <w:jc w:val="center"/>
              <w:rPr>
                <w:rFonts w:ascii="楷体" w:eastAsia="楷体" w:hAnsi="楷体" w:cs="Times New Roman"/>
                <w:szCs w:val="24"/>
              </w:rPr>
            </w:pPr>
            <w:r w:rsidRPr="00C64AE1">
              <w:rPr>
                <w:rFonts w:ascii="楷体" w:eastAsia="楷体" w:hAnsi="楷体" w:cs="Times New Roman"/>
                <w:noProof/>
                <w:szCs w:val="24"/>
              </w:rPr>
              <w:drawing>
                <wp:inline distT="0" distB="0" distL="0" distR="0">
                  <wp:extent cx="3200400" cy="1924050"/>
                  <wp:effectExtent l="19050" t="0" r="0" b="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a:stretch>
                            <a:fillRect/>
                          </a:stretch>
                        </pic:blipFill>
                        <pic:spPr bwMode="auto">
                          <a:xfrm>
                            <a:off x="0" y="0"/>
                            <a:ext cx="3200400" cy="1924050"/>
                          </a:xfrm>
                          <a:prstGeom prst="rect">
                            <a:avLst/>
                          </a:prstGeom>
                          <a:noFill/>
                          <a:ln w="9525">
                            <a:noFill/>
                            <a:miter lim="800000"/>
                            <a:headEnd/>
                            <a:tailEnd/>
                          </a:ln>
                        </pic:spPr>
                      </pic:pic>
                    </a:graphicData>
                  </a:graphic>
                </wp:inline>
              </w:drawing>
            </w:r>
          </w:p>
        </w:tc>
        <w:tc>
          <w:tcPr>
            <w:tcW w:w="56" w:type="dxa"/>
            <w:shd w:val="clear" w:color="auto" w:fill="FFFFFF"/>
          </w:tcPr>
          <w:p w:rsidR="00A51D20" w:rsidRPr="00C64AE1" w:rsidRDefault="00A51D20" w:rsidP="00C50331">
            <w:pPr>
              <w:keepNext/>
              <w:keepLines/>
              <w:ind w:firstLine="420"/>
              <w:jc w:val="center"/>
              <w:rPr>
                <w:rFonts w:ascii="楷体" w:eastAsia="楷体" w:hAnsi="楷体" w:cs="Times New Roman"/>
                <w:szCs w:val="24"/>
              </w:rPr>
            </w:pPr>
          </w:p>
        </w:tc>
        <w:tc>
          <w:tcPr>
            <w:tcW w:w="5050" w:type="dxa"/>
            <w:tcBorders>
              <w:top w:val="single" w:sz="12" w:space="0" w:color="CC0000"/>
              <w:bottom w:val="single" w:sz="12" w:space="0" w:color="CC0000"/>
            </w:tcBorders>
            <w:shd w:val="clear" w:color="auto" w:fill="auto"/>
            <w:noWrap/>
          </w:tcPr>
          <w:p w:rsidR="00A51D20" w:rsidRPr="00C64AE1" w:rsidRDefault="00A01DB4" w:rsidP="00C50331">
            <w:pPr>
              <w:keepNext/>
              <w:keepLines/>
              <w:jc w:val="center"/>
              <w:rPr>
                <w:rFonts w:ascii="楷体" w:eastAsia="楷体" w:hAnsi="楷体" w:cs="Times New Roman"/>
                <w:szCs w:val="24"/>
              </w:rPr>
            </w:pPr>
            <w:r w:rsidRPr="00C64AE1">
              <w:rPr>
                <w:rFonts w:ascii="楷体" w:eastAsia="楷体" w:hAnsi="楷体" w:cs="Times New Roman"/>
                <w:noProof/>
                <w:szCs w:val="24"/>
              </w:rPr>
              <w:drawing>
                <wp:inline distT="0" distB="0" distL="0" distR="0">
                  <wp:extent cx="3200400" cy="1943100"/>
                  <wp:effectExtent l="19050" t="0" r="0" b="0"/>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3200400" cy="1943100"/>
                          </a:xfrm>
                          <a:prstGeom prst="rect">
                            <a:avLst/>
                          </a:prstGeom>
                          <a:noFill/>
                          <a:ln w="9525">
                            <a:noFill/>
                            <a:miter lim="800000"/>
                            <a:headEnd/>
                            <a:tailEnd/>
                          </a:ln>
                        </pic:spPr>
                      </pic:pic>
                    </a:graphicData>
                  </a:graphic>
                </wp:inline>
              </w:drawing>
            </w:r>
          </w:p>
        </w:tc>
      </w:tr>
      <w:tr w:rsidR="00A51D20" w:rsidRPr="00C64AE1" w:rsidTr="00AA08D4">
        <w:trPr>
          <w:trHeight w:val="256"/>
          <w:jc w:val="center"/>
        </w:trPr>
        <w:tc>
          <w:tcPr>
            <w:tcW w:w="5051" w:type="dxa"/>
            <w:tcBorders>
              <w:top w:val="single" w:sz="12" w:space="0" w:color="CC0000"/>
            </w:tcBorders>
            <w:shd w:val="clear" w:color="auto" w:fill="auto"/>
            <w:noWrap/>
          </w:tcPr>
          <w:p w:rsidR="00A51D20" w:rsidRPr="00C64AE1" w:rsidRDefault="00A51D20" w:rsidP="00C50331">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c>
          <w:tcPr>
            <w:tcW w:w="56" w:type="dxa"/>
            <w:shd w:val="clear" w:color="auto" w:fill="auto"/>
          </w:tcPr>
          <w:p w:rsidR="00A51D20" w:rsidRPr="00C64AE1" w:rsidRDefault="00A51D20" w:rsidP="00C50331">
            <w:pPr>
              <w:keepNext/>
              <w:keepLines/>
              <w:rPr>
                <w:rFonts w:ascii="楷体" w:eastAsia="楷体" w:hAnsi="楷体" w:cs="Times New Roman"/>
                <w:sz w:val="20"/>
                <w:szCs w:val="20"/>
              </w:rPr>
            </w:pPr>
          </w:p>
        </w:tc>
        <w:tc>
          <w:tcPr>
            <w:tcW w:w="5050" w:type="dxa"/>
            <w:tcBorders>
              <w:top w:val="single" w:sz="12" w:space="0" w:color="CC0000"/>
            </w:tcBorders>
            <w:shd w:val="clear" w:color="auto" w:fill="auto"/>
            <w:noWrap/>
          </w:tcPr>
          <w:p w:rsidR="00A51D20" w:rsidRPr="00C64AE1" w:rsidRDefault="00A51D20" w:rsidP="00C50331">
            <w:pPr>
              <w:keepNext/>
              <w:keepLines/>
              <w:rPr>
                <w:rFonts w:ascii="楷体" w:eastAsia="楷体" w:hAnsi="楷体" w:cs="Times New Roman"/>
                <w:sz w:val="20"/>
                <w:szCs w:val="20"/>
              </w:rPr>
            </w:pPr>
            <w:r w:rsidRPr="00C64AE1">
              <w:rPr>
                <w:rFonts w:ascii="楷体" w:eastAsia="楷体" w:hAnsi="楷体" w:cs="Times New Roman"/>
                <w:sz w:val="20"/>
                <w:szCs w:val="20"/>
              </w:rPr>
              <w:t>资料来源：</w:t>
            </w:r>
            <w:r w:rsidRPr="00C64AE1">
              <w:rPr>
                <w:rFonts w:ascii="楷体" w:eastAsia="楷体" w:hAnsi="楷体" w:cs="Times New Roman" w:hint="eastAsia"/>
                <w:sz w:val="20"/>
                <w:szCs w:val="20"/>
              </w:rPr>
              <w:t>中山证券研究所</w:t>
            </w:r>
          </w:p>
        </w:tc>
      </w:tr>
    </w:tbl>
    <w:p w:rsidR="00552BB9" w:rsidRPr="00C64AE1" w:rsidRDefault="00DF6C77"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根据2018年的数据回测结果，在沪深两市震荡下行的行情下，择时模型对上证综指、中证500、中证1000等沪深两市主要指数获得绝对收益，其他指数获得远强于市的相对收益，其他指数在2018年择时净值运行平稳，净值保持在0.95以上</w:t>
      </w:r>
      <w:r w:rsidR="00AA55F4" w:rsidRPr="00C64AE1">
        <w:rPr>
          <w:rFonts w:ascii="楷体" w:eastAsia="楷体" w:hAnsi="楷体" w:cs="Times New Roman" w:hint="eastAsia"/>
        </w:rPr>
        <w:t>，有强于市的业绩表现</w:t>
      </w:r>
      <w:r w:rsidRPr="00C64AE1">
        <w:rPr>
          <w:rFonts w:ascii="楷体" w:eastAsia="楷体" w:hAnsi="楷体" w:cs="Times New Roman" w:hint="eastAsia"/>
        </w:rPr>
        <w:t>。根据择时模型的最新判断，</w:t>
      </w:r>
      <w:r w:rsidR="00620593" w:rsidRPr="00C64AE1">
        <w:rPr>
          <w:rFonts w:ascii="楷体" w:eastAsia="楷体" w:hAnsi="楷体" w:cs="Times New Roman" w:hint="eastAsia"/>
        </w:rPr>
        <w:t>报告</w:t>
      </w:r>
      <w:r w:rsidRPr="00C64AE1">
        <w:rPr>
          <w:rFonts w:ascii="楷体" w:eastAsia="楷体" w:hAnsi="楷体" w:cs="Times New Roman" w:hint="eastAsia"/>
        </w:rPr>
        <w:t>震荡看空上证综指、沪深300、创业板指、中小板指、中证500以及中证1000等两市主要指数。</w:t>
      </w:r>
    </w:p>
    <w:p w:rsidR="00EC4368" w:rsidRPr="00C64AE1" w:rsidRDefault="00EC4368" w:rsidP="00446770">
      <w:pPr>
        <w:widowControl/>
        <w:numPr>
          <w:ilvl w:val="1"/>
          <w:numId w:val="0"/>
        </w:numPr>
        <w:spacing w:beforeLines="50" w:afterLines="50" w:line="360" w:lineRule="auto"/>
        <w:ind w:leftChars="1200" w:left="3026" w:hangingChars="180" w:hanging="506"/>
        <w:outlineLvl w:val="1"/>
        <w:rPr>
          <w:rFonts w:ascii="楷体" w:eastAsia="楷体" w:hAnsi="楷体" w:cs="Times New Roman"/>
          <w:b/>
          <w:sz w:val="28"/>
        </w:rPr>
      </w:pPr>
      <w:bookmarkStart w:id="38" w:name="_Toc531856916"/>
      <w:r w:rsidRPr="00C64AE1">
        <w:rPr>
          <w:rFonts w:ascii="楷体" w:eastAsia="楷体" w:hAnsi="楷体" w:cs="Times New Roman" w:hint="eastAsia"/>
          <w:b/>
          <w:sz w:val="28"/>
        </w:rPr>
        <w:t>3.3 历史经验中</w:t>
      </w:r>
      <w:r w:rsidR="00970F31" w:rsidRPr="00C64AE1">
        <w:rPr>
          <w:rFonts w:ascii="楷体" w:eastAsia="楷体" w:hAnsi="楷体" w:cs="Times New Roman" w:hint="eastAsia"/>
          <w:b/>
          <w:sz w:val="28"/>
        </w:rPr>
        <w:t>相对高</w:t>
      </w:r>
      <w:r w:rsidRPr="00C64AE1">
        <w:rPr>
          <w:rFonts w:ascii="楷体" w:eastAsia="楷体" w:hAnsi="楷体" w:cs="Times New Roman" w:hint="eastAsia"/>
          <w:b/>
          <w:sz w:val="28"/>
        </w:rPr>
        <w:t>收益因子预期判断</w:t>
      </w:r>
      <w:bookmarkEnd w:id="38"/>
    </w:p>
    <w:p w:rsidR="00F3099D" w:rsidRPr="00C64AE1" w:rsidRDefault="00F3099D" w:rsidP="00446770">
      <w:pPr>
        <w:widowControl/>
        <w:spacing w:beforeLines="50" w:line="312" w:lineRule="auto"/>
        <w:ind w:leftChars="1200" w:left="2520" w:firstLineChars="200" w:firstLine="420"/>
        <w:rPr>
          <w:rFonts w:ascii="楷体" w:eastAsia="楷体" w:hAnsi="楷体" w:cs="Times New Roman"/>
        </w:rPr>
      </w:pPr>
      <w:bookmarkStart w:id="39" w:name="_Toc520725876"/>
      <w:r w:rsidRPr="00C64AE1">
        <w:rPr>
          <w:rFonts w:ascii="楷体" w:eastAsia="楷体" w:hAnsi="楷体" w:cs="Times New Roman" w:hint="eastAsia"/>
        </w:rPr>
        <w:t>根据2018年以来，规模因子受IPO加速、小盘股供给增加以</w:t>
      </w:r>
      <w:r w:rsidR="004711F7" w:rsidRPr="00C64AE1">
        <w:rPr>
          <w:rFonts w:ascii="楷体" w:eastAsia="楷体" w:hAnsi="楷体" w:cs="Times New Roman" w:hint="eastAsia"/>
        </w:rPr>
        <w:t>及</w:t>
      </w:r>
      <w:r w:rsidRPr="00C64AE1">
        <w:rPr>
          <w:rFonts w:ascii="楷体" w:eastAsia="楷体" w:hAnsi="楷体" w:cs="Times New Roman" w:hint="eastAsia"/>
        </w:rPr>
        <w:t>其引致的价值投资理念回归等原因，规模因子虽在2017年有大幅度回撤，但自2018年2月始，规模因子已获得超中证500收益达35%，预期规模因子好于市的业绩将会持续。</w:t>
      </w:r>
    </w:p>
    <w:p w:rsidR="00F3099D" w:rsidRPr="00C64AE1" w:rsidRDefault="00F3099D"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政策市见底、后期政策面相对宽松预期等的驱动与影响下，在去杠杆向稳杠杆平稳过渡时期，价量类反转因子有望重拾升势，财务类成长因子在2018年以来以及长期内（2007年以来）的多空收益表现稳健、且相对中证500有超额收益，预期随着2018年年报逐步披露，在</w:t>
      </w:r>
      <w:r w:rsidR="00251D4D" w:rsidRPr="00C64AE1">
        <w:rPr>
          <w:rFonts w:ascii="楷体" w:eastAsia="楷体" w:hAnsi="楷体" w:cs="Times New Roman" w:hint="eastAsia"/>
        </w:rPr>
        <w:t>个股</w:t>
      </w:r>
      <w:r w:rsidRPr="00C64AE1">
        <w:rPr>
          <w:rFonts w:ascii="楷体" w:eastAsia="楷体" w:hAnsi="楷体" w:cs="Times New Roman" w:hint="eastAsia"/>
        </w:rPr>
        <w:t>高业绩的驱动下，成长类因子的表现会相对强劲。建议在均衡配置各类因子的时，可以适当向规模</w:t>
      </w:r>
      <w:r w:rsidR="004711F7" w:rsidRPr="00C64AE1">
        <w:rPr>
          <w:rFonts w:ascii="楷体" w:eastAsia="楷体" w:hAnsi="楷体" w:cs="Times New Roman" w:hint="eastAsia"/>
        </w:rPr>
        <w:t>类</w:t>
      </w:r>
      <w:r w:rsidRPr="00C64AE1">
        <w:rPr>
          <w:rFonts w:ascii="楷体" w:eastAsia="楷体" w:hAnsi="楷体" w:cs="Times New Roman" w:hint="eastAsia"/>
        </w:rPr>
        <w:t>、成长</w:t>
      </w:r>
      <w:r w:rsidR="004711F7" w:rsidRPr="00C64AE1">
        <w:rPr>
          <w:rFonts w:ascii="楷体" w:eastAsia="楷体" w:hAnsi="楷体" w:cs="Times New Roman" w:hint="eastAsia"/>
        </w:rPr>
        <w:t>类</w:t>
      </w:r>
      <w:r w:rsidRPr="00C64AE1">
        <w:rPr>
          <w:rFonts w:ascii="楷体" w:eastAsia="楷体" w:hAnsi="楷体" w:cs="Times New Roman" w:hint="eastAsia"/>
        </w:rPr>
        <w:t>与反转类因子倾斜。</w:t>
      </w:r>
    </w:p>
    <w:p w:rsidR="00F3099D" w:rsidRPr="00C64AE1" w:rsidRDefault="00F3099D"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个股方面，建议适当关注小市值类、高成长类、前期跌幅较大的股票，以博取规模</w:t>
      </w:r>
      <w:r w:rsidR="00251D4D" w:rsidRPr="00C64AE1">
        <w:rPr>
          <w:rFonts w:ascii="楷体" w:eastAsia="楷体" w:hAnsi="楷体" w:cs="Times New Roman" w:hint="eastAsia"/>
        </w:rPr>
        <w:t>类</w:t>
      </w:r>
      <w:r w:rsidRPr="00C64AE1">
        <w:rPr>
          <w:rFonts w:ascii="楷体" w:eastAsia="楷体" w:hAnsi="楷体" w:cs="Times New Roman" w:hint="eastAsia"/>
        </w:rPr>
        <w:t>、反转</w:t>
      </w:r>
      <w:r w:rsidR="00251D4D" w:rsidRPr="00C64AE1">
        <w:rPr>
          <w:rFonts w:ascii="楷体" w:eastAsia="楷体" w:hAnsi="楷体" w:cs="Times New Roman" w:hint="eastAsia"/>
        </w:rPr>
        <w:t>类</w:t>
      </w:r>
      <w:r w:rsidRPr="00C64AE1">
        <w:rPr>
          <w:rFonts w:ascii="楷体" w:eastAsia="楷体" w:hAnsi="楷体" w:cs="Times New Roman" w:hint="eastAsia"/>
        </w:rPr>
        <w:t>与成长因子类带来的超市场收益。</w:t>
      </w:r>
    </w:p>
    <w:p w:rsidR="003F68B7" w:rsidRPr="00C64AE1" w:rsidRDefault="003F68B7" w:rsidP="00446770">
      <w:pPr>
        <w:widowControl/>
        <w:spacing w:beforeLines="50" w:line="360" w:lineRule="auto"/>
        <w:ind w:leftChars="1200" w:left="2821" w:hangingChars="100" w:hanging="301"/>
        <w:outlineLvl w:val="0"/>
        <w:rPr>
          <w:rFonts w:ascii="楷体" w:eastAsia="楷体" w:hAnsi="楷体" w:cs="Times New Roman"/>
          <w:b/>
          <w:sz w:val="30"/>
        </w:rPr>
      </w:pPr>
      <w:bookmarkStart w:id="40" w:name="_Toc531856917"/>
      <w:r w:rsidRPr="00C64AE1">
        <w:rPr>
          <w:rFonts w:ascii="楷体" w:eastAsia="楷体" w:hAnsi="楷体" w:cs="Times New Roman" w:hint="eastAsia"/>
          <w:b/>
          <w:sz w:val="30"/>
        </w:rPr>
        <w:t>4 风险提示</w:t>
      </w:r>
      <w:bookmarkEnd w:id="39"/>
      <w:bookmarkEnd w:id="40"/>
    </w:p>
    <w:p w:rsidR="003F68B7" w:rsidRPr="00C64AE1" w:rsidRDefault="003F68B7" w:rsidP="00446770">
      <w:pPr>
        <w:widowControl/>
        <w:spacing w:beforeLines="50" w:line="312" w:lineRule="auto"/>
        <w:ind w:leftChars="1200" w:left="2520" w:firstLineChars="200" w:firstLine="420"/>
        <w:rPr>
          <w:rFonts w:ascii="楷体" w:eastAsia="楷体" w:hAnsi="楷体" w:cs="Times New Roman"/>
        </w:rPr>
      </w:pPr>
      <w:r w:rsidRPr="00C64AE1">
        <w:rPr>
          <w:rFonts w:ascii="楷体" w:eastAsia="楷体" w:hAnsi="楷体" w:cs="Times New Roman" w:hint="eastAsia"/>
        </w:rPr>
        <w:t>市场</w:t>
      </w:r>
      <w:r w:rsidR="00463EA4" w:rsidRPr="00C64AE1">
        <w:rPr>
          <w:rFonts w:ascii="楷体" w:eastAsia="楷体" w:hAnsi="楷体" w:cs="Times New Roman" w:hint="eastAsia"/>
        </w:rPr>
        <w:t>不确定性与不可预测性</w:t>
      </w:r>
      <w:r w:rsidR="0025405B" w:rsidRPr="00C64AE1">
        <w:rPr>
          <w:rFonts w:ascii="楷体" w:eastAsia="楷体" w:hAnsi="楷体" w:cs="Times New Roman" w:hint="eastAsia"/>
        </w:rPr>
        <w:t>风险，操作风险，</w:t>
      </w:r>
      <w:r w:rsidRPr="00C64AE1">
        <w:rPr>
          <w:rFonts w:ascii="楷体" w:eastAsia="楷体" w:hAnsi="楷体" w:cs="Times New Roman" w:hint="eastAsia"/>
        </w:rPr>
        <w:t>模型预判失效风险，历史经验失效风险</w:t>
      </w:r>
      <w:r w:rsidR="00463EA4" w:rsidRPr="00C64AE1">
        <w:rPr>
          <w:rFonts w:ascii="楷体" w:eastAsia="楷体" w:hAnsi="楷体" w:cs="Times New Roman" w:hint="eastAsia"/>
        </w:rPr>
        <w:t>等。</w:t>
      </w:r>
    </w:p>
    <w:p w:rsidR="00EC4368" w:rsidRPr="00C64AE1" w:rsidRDefault="00EC4368" w:rsidP="00446770">
      <w:pPr>
        <w:widowControl/>
        <w:spacing w:beforeLines="50" w:line="312" w:lineRule="auto"/>
        <w:ind w:leftChars="1200" w:left="2520" w:firstLineChars="200" w:firstLine="422"/>
        <w:rPr>
          <w:rFonts w:ascii="楷体" w:eastAsia="楷体" w:hAnsi="楷体" w:cs="Times New Roman"/>
          <w:b/>
          <w:szCs w:val="21"/>
        </w:rPr>
        <w:sectPr w:rsidR="00EC4368" w:rsidRPr="00C64AE1" w:rsidSect="00FE0EF8">
          <w:footerReference w:type="default" r:id="rId45"/>
          <w:pgSz w:w="11906" w:h="16838" w:code="9"/>
          <w:pgMar w:top="284" w:right="567" w:bottom="312" w:left="567" w:header="851" w:footer="284" w:gutter="0"/>
          <w:cols w:space="425"/>
          <w:titlePg/>
          <w:docGrid w:type="linesAndChars" w:linePitch="312"/>
        </w:sectPr>
      </w:pPr>
    </w:p>
    <w:tbl>
      <w:tblPr>
        <w:tblStyle w:val="a9"/>
        <w:tblW w:w="949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98"/>
      </w:tblGrid>
      <w:tr w:rsidR="00715799" w:rsidRPr="00C64AE1" w:rsidTr="00FE0EF8">
        <w:trPr>
          <w:trHeight w:hRule="exact" w:val="20"/>
        </w:trPr>
        <w:tc>
          <w:tcPr>
            <w:tcW w:w="9498" w:type="dxa"/>
            <w:tcMar>
              <w:left w:w="0" w:type="dxa"/>
              <w:right w:w="0" w:type="dxa"/>
            </w:tcMar>
          </w:tcPr>
          <w:p w:rsidR="00715799" w:rsidRPr="00C64AE1" w:rsidRDefault="00715799" w:rsidP="00715799">
            <w:pPr>
              <w:tabs>
                <w:tab w:val="decimal" w:pos="360"/>
              </w:tabs>
              <w:rPr>
                <w:rFonts w:ascii="楷体" w:eastAsia="楷体" w:hAnsi="楷体"/>
                <w:b/>
                <w:szCs w:val="21"/>
              </w:rPr>
            </w:pPr>
            <w:r w:rsidRPr="00C64AE1">
              <w:rPr>
                <w:rFonts w:ascii="楷体" w:eastAsia="楷体" w:hAnsi="楷体" w:hint="eastAsia"/>
                <w:b/>
                <w:szCs w:val="21"/>
              </w:rPr>
              <w:lastRenderedPageBreak/>
              <w:t>[table_authordescript]</w:t>
            </w:r>
          </w:p>
        </w:tc>
      </w:tr>
      <w:tr w:rsidR="00715799" w:rsidRPr="00C64AE1" w:rsidTr="00FE0EF8">
        <w:tc>
          <w:tcPr>
            <w:tcW w:w="9498" w:type="dxa"/>
            <w:tcMar>
              <w:left w:w="0" w:type="dxa"/>
              <w:right w:w="0" w:type="dxa"/>
            </w:tcMar>
          </w:tcPr>
          <w:p w:rsidR="00715799" w:rsidRPr="00C64AE1" w:rsidRDefault="00715799" w:rsidP="00715799">
            <w:pPr>
              <w:rPr>
                <w:rFonts w:ascii="楷体" w:eastAsia="楷体" w:hAnsi="楷体"/>
                <w:b/>
                <w:szCs w:val="21"/>
              </w:rPr>
            </w:pPr>
            <w:r w:rsidRPr="00C64AE1">
              <w:rPr>
                <w:rFonts w:ascii="楷体" w:eastAsia="楷体" w:hAnsi="楷体" w:hint="eastAsia"/>
                <w:b/>
                <w:szCs w:val="21"/>
              </w:rPr>
              <w:t>分析师介绍：</w:t>
            </w:r>
          </w:p>
          <w:p w:rsidR="00715799" w:rsidRPr="00C64AE1" w:rsidRDefault="00715799" w:rsidP="00715799">
            <w:pPr>
              <w:rPr>
                <w:rFonts w:ascii="楷体" w:eastAsia="楷体" w:hAnsi="楷体"/>
              </w:rPr>
            </w:pPr>
            <w:r w:rsidRPr="00C64AE1">
              <w:rPr>
                <w:rFonts w:ascii="楷体" w:eastAsia="楷体" w:hAnsi="楷体" w:hint="eastAsia"/>
              </w:rPr>
              <w:t xml:space="preserve">    </w:t>
            </w:r>
          </w:p>
          <w:p w:rsidR="00715799" w:rsidRPr="00C64AE1" w:rsidRDefault="00715799" w:rsidP="00715799">
            <w:pPr>
              <w:ind w:leftChars="200" w:left="1022" w:hangingChars="300" w:hanging="602"/>
              <w:rPr>
                <w:rFonts w:ascii="楷体" w:eastAsia="楷体" w:hAnsi="楷体"/>
                <w:b/>
                <w:szCs w:val="21"/>
              </w:rPr>
            </w:pPr>
            <w:r w:rsidRPr="00C64AE1">
              <w:rPr>
                <w:rFonts w:ascii="楷体" w:eastAsia="楷体" w:hAnsi="楷体" w:hint="eastAsia"/>
                <w:b/>
                <w:szCs w:val="21"/>
              </w:rPr>
              <w:t>阳建辉：</w:t>
            </w:r>
            <w:r w:rsidRPr="00C64AE1">
              <w:rPr>
                <w:rFonts w:ascii="楷体" w:eastAsia="楷体" w:hAnsi="楷体" w:hint="eastAsia"/>
                <w:szCs w:val="21"/>
              </w:rPr>
              <w:t>华中科技大学经济学博士、中投证券博士后；2017</w:t>
            </w:r>
            <w:r w:rsidR="007303AB" w:rsidRPr="00C64AE1">
              <w:rPr>
                <w:rFonts w:ascii="楷体" w:eastAsia="楷体" w:hAnsi="楷体" w:hint="eastAsia"/>
                <w:szCs w:val="21"/>
              </w:rPr>
              <w:t>年加入中山证券，</w:t>
            </w:r>
            <w:r w:rsidRPr="00C64AE1">
              <w:rPr>
                <w:rFonts w:ascii="楷体" w:eastAsia="楷体" w:hAnsi="楷体" w:hint="eastAsia"/>
                <w:szCs w:val="21"/>
              </w:rPr>
              <w:t>金融工程研究</w:t>
            </w:r>
            <w:r w:rsidR="007303AB" w:rsidRPr="00C64AE1">
              <w:rPr>
                <w:rFonts w:ascii="楷体" w:eastAsia="楷体" w:hAnsi="楷体" w:hint="eastAsia"/>
                <w:szCs w:val="21"/>
              </w:rPr>
              <w:t>员</w:t>
            </w:r>
            <w:r w:rsidRPr="00C64AE1">
              <w:rPr>
                <w:rFonts w:ascii="楷体" w:eastAsia="楷体" w:hAnsi="楷体" w:hint="eastAsia"/>
                <w:szCs w:val="21"/>
              </w:rPr>
              <w:t>。</w:t>
            </w:r>
          </w:p>
          <w:p w:rsidR="00715799" w:rsidRPr="00C64AE1" w:rsidRDefault="00715799" w:rsidP="00715799">
            <w:pPr>
              <w:ind w:firstLineChars="200" w:firstLine="400"/>
              <w:rPr>
                <w:rFonts w:ascii="楷体" w:eastAsia="楷体" w:hAnsi="楷体"/>
              </w:rPr>
            </w:pPr>
          </w:p>
        </w:tc>
      </w:tr>
    </w:tbl>
    <w:p w:rsidR="00715799" w:rsidRPr="00C64AE1" w:rsidRDefault="00715799" w:rsidP="00446770">
      <w:pPr>
        <w:tabs>
          <w:tab w:val="decimal" w:pos="360"/>
        </w:tabs>
        <w:spacing w:beforeLines="50"/>
        <w:ind w:leftChars="270" w:left="567" w:rightChars="336" w:right="706"/>
        <w:rPr>
          <w:rFonts w:ascii="楷体" w:eastAsia="楷体" w:hAnsi="楷体" w:cs="Times New Roman"/>
          <w:b/>
          <w:szCs w:val="21"/>
        </w:rPr>
      </w:pPr>
      <w:r w:rsidRPr="00C64AE1">
        <w:rPr>
          <w:rFonts w:ascii="楷体" w:eastAsia="楷体" w:hAnsi="楷体" w:cs="Times New Roman" w:hint="eastAsia"/>
          <w:b/>
          <w:szCs w:val="21"/>
        </w:rPr>
        <w:t>投资评级的说明</w:t>
      </w:r>
    </w:p>
    <w:p w:rsidR="00715799" w:rsidRPr="00C64AE1" w:rsidRDefault="00715799" w:rsidP="00446770">
      <w:pPr>
        <w:autoSpaceDE w:val="0"/>
        <w:autoSpaceDN w:val="0"/>
        <w:adjustRightInd w:val="0"/>
        <w:spacing w:afterLines="50"/>
        <w:ind w:leftChars="270" w:left="567" w:rightChars="336" w:right="706" w:firstLineChars="100" w:firstLine="200"/>
        <w:rPr>
          <w:rFonts w:ascii="楷体" w:eastAsia="楷体" w:hAnsi="楷体" w:cs="Times New Roman"/>
          <w:sz w:val="20"/>
          <w:szCs w:val="20"/>
        </w:rPr>
      </w:pPr>
      <w:r w:rsidRPr="00C64AE1">
        <w:rPr>
          <w:rFonts w:ascii="楷体" w:eastAsia="楷体" w:hAnsi="楷体" w:cs="Times New Roman" w:hint="eastAsia"/>
          <w:sz w:val="20"/>
          <w:szCs w:val="20"/>
        </w:rPr>
        <w:t>－ 行业评级标准</w:t>
      </w:r>
    </w:p>
    <w:p w:rsidR="00715799" w:rsidRPr="00C64AE1" w:rsidRDefault="00715799" w:rsidP="00446770">
      <w:pPr>
        <w:autoSpaceDE w:val="0"/>
        <w:autoSpaceDN w:val="0"/>
        <w:adjustRightInd w:val="0"/>
        <w:spacing w:afterLines="50"/>
        <w:ind w:leftChars="270" w:left="567" w:rightChars="336" w:right="706" w:firstLineChars="250" w:firstLine="500"/>
        <w:rPr>
          <w:rFonts w:ascii="楷体" w:eastAsia="楷体" w:hAnsi="楷体" w:cs="Times New Roman"/>
          <w:sz w:val="20"/>
          <w:szCs w:val="20"/>
        </w:rPr>
      </w:pPr>
      <w:r w:rsidRPr="00C64AE1">
        <w:rPr>
          <w:rFonts w:ascii="楷体" w:eastAsia="楷体" w:hAnsi="楷体" w:cs="Times New Roman" w:hint="eastAsia"/>
          <w:sz w:val="20"/>
          <w:szCs w:val="20"/>
        </w:rPr>
        <w:t>报告列明的日期后3个月内，以行业股票指数相对同期市场基准指数（中证800指数）收益率的预期表现为标准，区分为以下四级：</w:t>
      </w:r>
    </w:p>
    <w:p w:rsidR="00715799" w:rsidRPr="00C64AE1" w:rsidRDefault="00715799" w:rsidP="00446770">
      <w:pPr>
        <w:autoSpaceDE w:val="0"/>
        <w:autoSpaceDN w:val="0"/>
        <w:adjustRightInd w:val="0"/>
        <w:spacing w:afterLines="50"/>
        <w:ind w:leftChars="270" w:left="567" w:rightChars="336" w:right="706" w:firstLineChars="250" w:firstLine="500"/>
        <w:rPr>
          <w:rFonts w:ascii="楷体" w:eastAsia="楷体" w:hAnsi="楷体" w:cs="Times New Roman"/>
          <w:sz w:val="20"/>
          <w:szCs w:val="20"/>
        </w:rPr>
      </w:pPr>
      <w:r w:rsidRPr="00C64AE1">
        <w:rPr>
          <w:rFonts w:ascii="楷体" w:eastAsia="楷体" w:hAnsi="楷体" w:cs="Times New Roman" w:hint="eastAsia"/>
          <w:sz w:val="20"/>
          <w:szCs w:val="20"/>
        </w:rPr>
        <w:t>强于大市   ：行业指数收益率相对市场基准指数收益率在5%以上；</w:t>
      </w:r>
    </w:p>
    <w:p w:rsidR="00715799" w:rsidRPr="00C64AE1" w:rsidRDefault="00715799" w:rsidP="00446770">
      <w:pPr>
        <w:autoSpaceDE w:val="0"/>
        <w:autoSpaceDN w:val="0"/>
        <w:adjustRightInd w:val="0"/>
        <w:spacing w:afterLines="50"/>
        <w:ind w:leftChars="270" w:left="567" w:rightChars="336" w:right="706" w:firstLineChars="250" w:firstLine="500"/>
        <w:rPr>
          <w:rFonts w:ascii="楷体" w:eastAsia="楷体" w:hAnsi="楷体" w:cs="Times New Roman"/>
          <w:sz w:val="20"/>
          <w:szCs w:val="20"/>
        </w:rPr>
      </w:pPr>
      <w:r w:rsidRPr="00C64AE1">
        <w:rPr>
          <w:rFonts w:ascii="楷体" w:eastAsia="楷体" w:hAnsi="楷体" w:cs="Times New Roman" w:hint="eastAsia"/>
          <w:sz w:val="20"/>
          <w:szCs w:val="20"/>
        </w:rPr>
        <w:t>同步大市   ：行业指数收益率相对市场基准指数收益率在-5%</w:t>
      </w:r>
      <w:r w:rsidRPr="00C64AE1">
        <w:rPr>
          <w:rFonts w:ascii="楷体" w:eastAsia="楷体" w:hAnsi="楷体" w:cs="Arial"/>
          <w:sz w:val="20"/>
          <w:szCs w:val="20"/>
        </w:rPr>
        <w:t>～</w:t>
      </w:r>
      <w:r w:rsidRPr="00C64AE1">
        <w:rPr>
          <w:rFonts w:ascii="楷体" w:eastAsia="楷体" w:hAnsi="楷体" w:cs="Times New Roman" w:hint="eastAsia"/>
          <w:sz w:val="20"/>
          <w:szCs w:val="20"/>
        </w:rPr>
        <w:t>5%之间波动；</w:t>
      </w:r>
    </w:p>
    <w:p w:rsidR="00715799" w:rsidRPr="00C64AE1" w:rsidRDefault="00715799" w:rsidP="00446770">
      <w:pPr>
        <w:autoSpaceDE w:val="0"/>
        <w:autoSpaceDN w:val="0"/>
        <w:adjustRightInd w:val="0"/>
        <w:spacing w:afterLines="50"/>
        <w:ind w:leftChars="270" w:left="567" w:rightChars="336" w:right="706" w:firstLineChars="250" w:firstLine="500"/>
        <w:rPr>
          <w:rFonts w:ascii="楷体" w:eastAsia="楷体" w:hAnsi="楷体" w:cs="Times New Roman"/>
          <w:sz w:val="20"/>
          <w:szCs w:val="20"/>
        </w:rPr>
      </w:pPr>
      <w:r w:rsidRPr="00C64AE1">
        <w:rPr>
          <w:rFonts w:ascii="楷体" w:eastAsia="楷体" w:hAnsi="楷体" w:cs="Times New Roman" w:hint="eastAsia"/>
          <w:sz w:val="20"/>
          <w:szCs w:val="20"/>
        </w:rPr>
        <w:t>弱于大市   ：行业指数收益率相对市场基准指数收益率在-5%以下；</w:t>
      </w:r>
    </w:p>
    <w:p w:rsidR="00715799" w:rsidRPr="00C64AE1" w:rsidRDefault="00715799" w:rsidP="00446770">
      <w:pPr>
        <w:autoSpaceDE w:val="0"/>
        <w:autoSpaceDN w:val="0"/>
        <w:adjustRightInd w:val="0"/>
        <w:spacing w:afterLines="50"/>
        <w:ind w:leftChars="270" w:left="567" w:rightChars="336" w:right="706" w:firstLineChars="250" w:firstLine="500"/>
        <w:rPr>
          <w:rFonts w:ascii="楷体" w:eastAsia="楷体" w:hAnsi="楷体" w:cs="Times New Roman"/>
          <w:sz w:val="20"/>
          <w:szCs w:val="20"/>
        </w:rPr>
      </w:pPr>
      <w:r w:rsidRPr="00C64AE1">
        <w:rPr>
          <w:rFonts w:ascii="楷体" w:eastAsia="楷体" w:hAnsi="楷体" w:cs="Times New Roman" w:hint="eastAsia"/>
          <w:sz w:val="20"/>
          <w:szCs w:val="20"/>
        </w:rPr>
        <w:t>未评级     ：不作为行业报告评级单独使用，但在公司评级报告中，作为随附行业评级的选择项之一。</w:t>
      </w:r>
    </w:p>
    <w:p w:rsidR="00715799" w:rsidRPr="00C64AE1" w:rsidRDefault="00715799" w:rsidP="00446770">
      <w:pPr>
        <w:autoSpaceDE w:val="0"/>
        <w:autoSpaceDN w:val="0"/>
        <w:adjustRightInd w:val="0"/>
        <w:spacing w:afterLines="50"/>
        <w:ind w:leftChars="270" w:left="567" w:rightChars="336" w:right="706" w:firstLineChars="100" w:firstLine="200"/>
        <w:rPr>
          <w:rFonts w:ascii="楷体" w:eastAsia="楷体" w:hAnsi="楷体" w:cs="Times New Roman"/>
          <w:sz w:val="20"/>
          <w:szCs w:val="20"/>
        </w:rPr>
      </w:pPr>
      <w:r w:rsidRPr="00C64AE1">
        <w:rPr>
          <w:rFonts w:ascii="楷体" w:eastAsia="楷体" w:hAnsi="楷体" w:cs="Times New Roman" w:hint="eastAsia"/>
          <w:sz w:val="20"/>
          <w:szCs w:val="20"/>
        </w:rPr>
        <w:t>－ 公司评级标准</w:t>
      </w:r>
    </w:p>
    <w:p w:rsidR="00715799" w:rsidRPr="00C64AE1" w:rsidRDefault="00715799" w:rsidP="00446770">
      <w:pPr>
        <w:autoSpaceDE w:val="0"/>
        <w:autoSpaceDN w:val="0"/>
        <w:adjustRightInd w:val="0"/>
        <w:spacing w:afterLines="50"/>
        <w:ind w:leftChars="270" w:left="567" w:rightChars="336" w:right="706" w:firstLineChars="250" w:firstLine="500"/>
        <w:rPr>
          <w:rFonts w:ascii="楷体" w:eastAsia="楷体" w:hAnsi="楷体" w:cs="Times New Roman"/>
          <w:sz w:val="20"/>
          <w:szCs w:val="20"/>
        </w:rPr>
      </w:pPr>
      <w:r w:rsidRPr="00C64AE1">
        <w:rPr>
          <w:rFonts w:ascii="楷体" w:eastAsia="楷体" w:hAnsi="楷体" w:cs="Times New Roman" w:hint="eastAsia"/>
          <w:sz w:val="20"/>
          <w:szCs w:val="20"/>
        </w:rPr>
        <w:t>报告列明的发布日期后3个月内，以股票相对同期行业指数收益率为基准，区分为以下五级：</w:t>
      </w:r>
    </w:p>
    <w:p w:rsidR="00715799" w:rsidRPr="00C64AE1" w:rsidRDefault="00715799" w:rsidP="00446770">
      <w:pPr>
        <w:autoSpaceDE w:val="0"/>
        <w:autoSpaceDN w:val="0"/>
        <w:adjustRightInd w:val="0"/>
        <w:spacing w:afterLines="50"/>
        <w:ind w:leftChars="270" w:left="567" w:rightChars="336" w:right="706" w:firstLineChars="250" w:firstLine="500"/>
        <w:rPr>
          <w:rFonts w:ascii="楷体" w:eastAsia="楷体" w:hAnsi="楷体" w:cs="Times New Roman"/>
          <w:sz w:val="20"/>
          <w:szCs w:val="20"/>
        </w:rPr>
      </w:pPr>
      <w:r w:rsidRPr="00C64AE1">
        <w:rPr>
          <w:rFonts w:ascii="楷体" w:eastAsia="楷体" w:hAnsi="楷体" w:cs="Times New Roman" w:hint="eastAsia"/>
          <w:sz w:val="20"/>
          <w:szCs w:val="20"/>
        </w:rPr>
        <w:t>买入：强于行业指数15%以上；</w:t>
      </w:r>
    </w:p>
    <w:p w:rsidR="00715799" w:rsidRPr="00C64AE1" w:rsidRDefault="00715799" w:rsidP="00446770">
      <w:pPr>
        <w:autoSpaceDE w:val="0"/>
        <w:autoSpaceDN w:val="0"/>
        <w:adjustRightInd w:val="0"/>
        <w:spacing w:afterLines="50"/>
        <w:ind w:leftChars="270" w:left="567" w:rightChars="336" w:right="706" w:firstLineChars="250" w:firstLine="500"/>
        <w:rPr>
          <w:rFonts w:ascii="楷体" w:eastAsia="楷体" w:hAnsi="楷体" w:cs="Times New Roman"/>
          <w:sz w:val="20"/>
          <w:szCs w:val="20"/>
        </w:rPr>
      </w:pPr>
      <w:r w:rsidRPr="00C64AE1">
        <w:rPr>
          <w:rFonts w:ascii="楷体" w:eastAsia="楷体" w:hAnsi="楷体" w:cs="Times New Roman" w:hint="eastAsia"/>
          <w:sz w:val="20"/>
          <w:szCs w:val="20"/>
        </w:rPr>
        <w:t>持有：强于行业指数5%</w:t>
      </w:r>
      <w:r w:rsidRPr="00C64AE1">
        <w:rPr>
          <w:rFonts w:ascii="楷体" w:eastAsia="楷体" w:hAnsi="楷体" w:cs="Arial"/>
          <w:sz w:val="20"/>
          <w:szCs w:val="20"/>
        </w:rPr>
        <w:t>～</w:t>
      </w:r>
      <w:r w:rsidRPr="00C64AE1">
        <w:rPr>
          <w:rFonts w:ascii="楷体" w:eastAsia="楷体" w:hAnsi="楷体" w:cs="Times New Roman" w:hint="eastAsia"/>
          <w:sz w:val="20"/>
          <w:szCs w:val="20"/>
        </w:rPr>
        <w:t>15%；</w:t>
      </w:r>
    </w:p>
    <w:p w:rsidR="00715799" w:rsidRPr="00C64AE1" w:rsidRDefault="00715799" w:rsidP="00446770">
      <w:pPr>
        <w:autoSpaceDE w:val="0"/>
        <w:autoSpaceDN w:val="0"/>
        <w:adjustRightInd w:val="0"/>
        <w:spacing w:afterLines="50"/>
        <w:ind w:leftChars="270" w:left="567" w:rightChars="336" w:right="706" w:firstLineChars="250" w:firstLine="500"/>
        <w:rPr>
          <w:rFonts w:ascii="楷体" w:eastAsia="楷体" w:hAnsi="楷体" w:cs="Times New Roman"/>
          <w:sz w:val="20"/>
          <w:szCs w:val="20"/>
        </w:rPr>
      </w:pPr>
      <w:r w:rsidRPr="00C64AE1">
        <w:rPr>
          <w:rFonts w:ascii="楷体" w:eastAsia="楷体" w:hAnsi="楷体" w:cs="Times New Roman" w:hint="eastAsia"/>
          <w:sz w:val="20"/>
          <w:szCs w:val="20"/>
        </w:rPr>
        <w:t>中性：相对于行业指数表现在-5%</w:t>
      </w:r>
      <w:r w:rsidRPr="00C64AE1">
        <w:rPr>
          <w:rFonts w:ascii="楷体" w:eastAsia="楷体" w:hAnsi="楷体" w:cs="Arial"/>
          <w:sz w:val="20"/>
          <w:szCs w:val="20"/>
        </w:rPr>
        <w:t>～</w:t>
      </w:r>
      <w:r w:rsidRPr="00C64AE1">
        <w:rPr>
          <w:rFonts w:ascii="楷体" w:eastAsia="楷体" w:hAnsi="楷体" w:cs="Times New Roman" w:hint="eastAsia"/>
          <w:sz w:val="20"/>
          <w:szCs w:val="20"/>
        </w:rPr>
        <w:t>5%之间；</w:t>
      </w:r>
    </w:p>
    <w:p w:rsidR="00715799" w:rsidRPr="00C64AE1" w:rsidRDefault="00715799" w:rsidP="00446770">
      <w:pPr>
        <w:autoSpaceDE w:val="0"/>
        <w:autoSpaceDN w:val="0"/>
        <w:adjustRightInd w:val="0"/>
        <w:spacing w:afterLines="50"/>
        <w:ind w:leftChars="270" w:left="567" w:rightChars="336" w:right="706" w:firstLineChars="250" w:firstLine="500"/>
        <w:rPr>
          <w:rFonts w:ascii="楷体" w:eastAsia="楷体" w:hAnsi="楷体" w:cs="Times New Roman"/>
          <w:sz w:val="20"/>
          <w:szCs w:val="20"/>
        </w:rPr>
      </w:pPr>
      <w:r w:rsidRPr="00C64AE1">
        <w:rPr>
          <w:rFonts w:ascii="楷体" w:eastAsia="楷体" w:hAnsi="楷体" w:cs="Times New Roman" w:hint="eastAsia"/>
          <w:sz w:val="20"/>
          <w:szCs w:val="20"/>
        </w:rPr>
        <w:t>卖出：弱于行业指数5%以上；</w:t>
      </w:r>
    </w:p>
    <w:p w:rsidR="00715799" w:rsidRPr="00C64AE1" w:rsidRDefault="00715799" w:rsidP="00446770">
      <w:pPr>
        <w:autoSpaceDE w:val="0"/>
        <w:autoSpaceDN w:val="0"/>
        <w:adjustRightInd w:val="0"/>
        <w:spacing w:afterLines="50"/>
        <w:ind w:leftChars="270" w:left="567" w:rightChars="336" w:right="706" w:firstLineChars="250" w:firstLine="500"/>
        <w:rPr>
          <w:rFonts w:ascii="楷体" w:eastAsia="楷体" w:hAnsi="楷体" w:cs="Times New Roman"/>
          <w:sz w:val="20"/>
          <w:szCs w:val="20"/>
        </w:rPr>
      </w:pPr>
      <w:r w:rsidRPr="00C64AE1">
        <w:rPr>
          <w:rFonts w:ascii="楷体" w:eastAsia="楷体" w:hAnsi="楷体" w:cs="Times New Roman" w:hint="eastAsia"/>
          <w:sz w:val="20"/>
          <w:szCs w:val="20"/>
        </w:rPr>
        <w:t>未评级：研究员基于覆盖或公司停牌等其他原因不能对该公司做出股票评级的情况。</w:t>
      </w:r>
    </w:p>
    <w:p w:rsidR="00715799" w:rsidRPr="00C64AE1" w:rsidRDefault="00715799" w:rsidP="00715799">
      <w:pPr>
        <w:ind w:leftChars="270" w:left="567" w:rightChars="336" w:right="706"/>
        <w:rPr>
          <w:rFonts w:ascii="楷体" w:eastAsia="楷体" w:hAnsi="楷体" w:cs="Times New Roman"/>
          <w:b/>
          <w:szCs w:val="21"/>
        </w:rPr>
      </w:pPr>
      <w:r w:rsidRPr="00C64AE1">
        <w:rPr>
          <w:rFonts w:ascii="楷体" w:eastAsia="楷体" w:hAnsi="楷体" w:cs="Times New Roman" w:hint="eastAsia"/>
          <w:b/>
          <w:szCs w:val="21"/>
        </w:rPr>
        <w:t>要求披露</w:t>
      </w:r>
    </w:p>
    <w:p w:rsidR="00715799" w:rsidRPr="00C64AE1" w:rsidRDefault="00715799" w:rsidP="00715799">
      <w:pPr>
        <w:ind w:leftChars="270" w:left="567" w:rightChars="336" w:right="706" w:firstLineChars="200" w:firstLine="400"/>
        <w:rPr>
          <w:rFonts w:ascii="楷体" w:eastAsia="楷体" w:hAnsi="楷体" w:cs="Times New Roman"/>
          <w:sz w:val="20"/>
          <w:szCs w:val="20"/>
        </w:rPr>
      </w:pPr>
      <w:r w:rsidRPr="00C64AE1">
        <w:rPr>
          <w:rFonts w:ascii="楷体" w:eastAsia="楷体" w:hAnsi="楷体" w:cs="Times New Roman" w:hint="eastAsia"/>
          <w:sz w:val="20"/>
          <w:szCs w:val="20"/>
        </w:rPr>
        <w:t>本报告由中山证券有限责任公司（简称“中山证券”或者“本公司”）研究所编制。中山证券有限责任公司是经监管部门批准具有证券投资咨询业务资格的机构。</w:t>
      </w:r>
    </w:p>
    <w:p w:rsidR="00715799" w:rsidRPr="00C64AE1" w:rsidRDefault="00715799" w:rsidP="00715799">
      <w:pPr>
        <w:rPr>
          <w:rFonts w:ascii="楷体" w:eastAsia="楷体" w:hAnsi="楷体" w:cs="Times New Roman"/>
          <w:b/>
          <w:sz w:val="22"/>
          <w:szCs w:val="24"/>
        </w:rPr>
      </w:pPr>
    </w:p>
    <w:p w:rsidR="00715799" w:rsidRPr="00C64AE1" w:rsidRDefault="00715799" w:rsidP="00715799">
      <w:pPr>
        <w:rPr>
          <w:rFonts w:ascii="楷体" w:eastAsia="楷体" w:hAnsi="楷体" w:cs="Times New Roman"/>
          <w:b/>
          <w:sz w:val="22"/>
          <w:szCs w:val="24"/>
        </w:rPr>
      </w:pPr>
    </w:p>
    <w:p w:rsidR="00715799" w:rsidRPr="00C64AE1" w:rsidRDefault="00715799" w:rsidP="00446770">
      <w:pPr>
        <w:pageBreakBefore/>
        <w:spacing w:afterLines="30"/>
        <w:ind w:leftChars="270" w:left="567" w:rightChars="336" w:right="706"/>
        <w:rPr>
          <w:rFonts w:ascii="楷体" w:eastAsia="楷体" w:hAnsi="楷体" w:cs="Times New Roman"/>
          <w:b/>
          <w:szCs w:val="21"/>
        </w:rPr>
      </w:pPr>
      <w:r w:rsidRPr="00C64AE1">
        <w:rPr>
          <w:rFonts w:ascii="楷体" w:eastAsia="楷体" w:hAnsi="楷体" w:cs="Times New Roman" w:hint="eastAsia"/>
          <w:b/>
          <w:szCs w:val="21"/>
        </w:rPr>
        <w:lastRenderedPageBreak/>
        <w:t>风险提示及免责声明：</w:t>
      </w:r>
    </w:p>
    <w:p w:rsidR="00715799" w:rsidRPr="00C64AE1" w:rsidRDefault="00715799" w:rsidP="00446770">
      <w:pPr>
        <w:spacing w:afterLines="30"/>
        <w:ind w:leftChars="270" w:left="567" w:rightChars="336" w:right="706"/>
        <w:rPr>
          <w:rFonts w:ascii="楷体" w:eastAsia="楷体" w:hAnsi="楷体" w:cs="Times New Roman"/>
          <w:sz w:val="18"/>
          <w:szCs w:val="18"/>
        </w:rPr>
      </w:pPr>
      <w:r w:rsidRPr="00C64AE1">
        <w:rPr>
          <w:rFonts w:ascii="楷体" w:eastAsia="楷体" w:hAnsi="楷体" w:cs="Times New Roman" w:hint="eastAsia"/>
          <w:sz w:val="18"/>
          <w:szCs w:val="18"/>
        </w:rPr>
        <w:t>★  市场有风险，投资须谨慎。本报告提及的证券、金融工具的价格、价值及收入均有可能下跌，以往的表现不应作为日后表现的暗示或担保。您有可能无法全额取回已投资的金额。</w:t>
      </w:r>
    </w:p>
    <w:p w:rsidR="00715799" w:rsidRPr="00C64AE1" w:rsidRDefault="00715799" w:rsidP="00446770">
      <w:pPr>
        <w:spacing w:afterLines="30"/>
        <w:ind w:leftChars="270" w:left="567" w:rightChars="336" w:right="706"/>
        <w:rPr>
          <w:rFonts w:ascii="楷体" w:eastAsia="楷体" w:hAnsi="楷体" w:cs="Times New Roman"/>
          <w:sz w:val="18"/>
          <w:szCs w:val="18"/>
        </w:rPr>
      </w:pPr>
      <w:r w:rsidRPr="00C64AE1">
        <w:rPr>
          <w:rFonts w:ascii="楷体" w:eastAsia="楷体" w:hAnsi="楷体" w:cs="Times New Roman" w:hint="eastAsia"/>
          <w:sz w:val="18"/>
          <w:szCs w:val="18"/>
        </w:rPr>
        <w:t>★  本报告无意针对或者打算违反任何地区、国家、城市或其它法律管辖区域内的法律法规。</w:t>
      </w:r>
    </w:p>
    <w:p w:rsidR="00715799" w:rsidRPr="00C64AE1" w:rsidRDefault="00715799" w:rsidP="00446770">
      <w:pPr>
        <w:spacing w:afterLines="30"/>
        <w:ind w:leftChars="270" w:left="567" w:rightChars="336" w:right="706"/>
        <w:rPr>
          <w:rFonts w:ascii="楷体" w:eastAsia="楷体" w:hAnsi="楷体" w:cs="Times New Roman"/>
          <w:sz w:val="18"/>
          <w:szCs w:val="18"/>
        </w:rPr>
      </w:pPr>
      <w:r w:rsidRPr="00C64AE1">
        <w:rPr>
          <w:rFonts w:ascii="楷体" w:eastAsia="楷体" w:hAnsi="楷体" w:cs="Times New Roman" w:hint="eastAsia"/>
          <w:sz w:val="18"/>
          <w:szCs w:val="18"/>
        </w:rPr>
        <w:t>★  本报告是机密的，仅供本公司的个人或者机构客户（简称客户）参考使用，不是或者不应当视为出售、购买或者认购证券或其他金融工具的要约或者要约邀请。本公司不因收件人收到本报告而视其为本公司的客户，如收件人并非本公司客户，请及时退回并删除。若本公司之外的机构发送本报告，则由该机构独自为此发送行为负责，本公司及本公司雇员不为前述机构之客户因使用本报告或者报告载明的内容引起的直接或间接损失承担任何责任。</w:t>
      </w:r>
    </w:p>
    <w:p w:rsidR="00715799" w:rsidRPr="00C64AE1" w:rsidRDefault="00715799" w:rsidP="00446770">
      <w:pPr>
        <w:spacing w:afterLines="30"/>
        <w:ind w:leftChars="270" w:left="567" w:rightChars="336" w:right="706"/>
        <w:rPr>
          <w:rFonts w:ascii="楷体" w:eastAsia="楷体" w:hAnsi="楷体" w:cs="Times New Roman"/>
          <w:sz w:val="18"/>
          <w:szCs w:val="18"/>
        </w:rPr>
      </w:pPr>
      <w:r w:rsidRPr="00C64AE1">
        <w:rPr>
          <w:rFonts w:ascii="楷体" w:eastAsia="楷体" w:hAnsi="楷体" w:cs="Times New Roman" w:hint="eastAsia"/>
          <w:sz w:val="18"/>
          <w:szCs w:val="18"/>
        </w:rPr>
        <w:t>★  任何有关本报告的摘要或节选都不代表本报告正式完整的观点，客户应当认识到有关本报告的短信提示、电话推荐等都只是研究观点的简要沟通，一切须以本公司向客户发布的本报告完整版本为准。</w:t>
      </w:r>
    </w:p>
    <w:p w:rsidR="00715799" w:rsidRPr="00C64AE1" w:rsidRDefault="00715799" w:rsidP="00446770">
      <w:pPr>
        <w:spacing w:afterLines="30"/>
        <w:ind w:leftChars="270" w:left="567" w:rightChars="336" w:right="706"/>
        <w:rPr>
          <w:rFonts w:ascii="楷体" w:eastAsia="楷体" w:hAnsi="楷体" w:cs="Times New Roman"/>
          <w:sz w:val="18"/>
          <w:szCs w:val="18"/>
        </w:rPr>
      </w:pPr>
      <w:r w:rsidRPr="00C64AE1">
        <w:rPr>
          <w:rFonts w:ascii="楷体" w:eastAsia="楷体" w:hAnsi="楷体" w:cs="Times New Roman" w:hint="eastAsia"/>
          <w:sz w:val="18"/>
          <w:szCs w:val="18"/>
        </w:rPr>
        <w:t>★</w:t>
      </w:r>
      <w:r w:rsidRPr="00C64AE1">
        <w:rPr>
          <w:rFonts w:ascii="楷体" w:eastAsia="楷体" w:hAnsi="楷体" w:cs="Times New Roman" w:hint="eastAsia"/>
          <w:sz w:val="18"/>
          <w:szCs w:val="18"/>
        </w:rPr>
        <w:tab/>
        <w:t xml:space="preserve">  本报告基于已公开的资料或信息撰写，但是本公司不保证该资料及信息的准确性、完整性，我公司将随时补充、更新和修订有关资料和信息，但是不保证及时公开发布。本报告所载的任何建议、意见及推测仅反映本公司于本报告列明的发布日期当日的判断，本公司可以在不发出通知的情况下做出更改。本报告所包含的分析基于各种假设和标准，不同的假设和标准、采用不同的观点或分析方法可能导致分析结果出现重大的不同。本公司的销售人员、交易人员或者其他专业人员、其他业务部门也可能给出不同或者相反的意见。</w:t>
      </w:r>
    </w:p>
    <w:p w:rsidR="00715799" w:rsidRPr="00C64AE1" w:rsidRDefault="00715799" w:rsidP="00446770">
      <w:pPr>
        <w:spacing w:afterLines="30"/>
        <w:ind w:leftChars="270" w:left="567" w:rightChars="336" w:right="706"/>
        <w:rPr>
          <w:rFonts w:ascii="楷体" w:eastAsia="楷体" w:hAnsi="楷体" w:cs="Times New Roman"/>
          <w:sz w:val="18"/>
          <w:szCs w:val="18"/>
        </w:rPr>
      </w:pPr>
      <w:r w:rsidRPr="00C64AE1">
        <w:rPr>
          <w:rFonts w:ascii="楷体" w:eastAsia="楷体" w:hAnsi="楷体" w:cs="Times New Roman" w:hint="eastAsia"/>
          <w:sz w:val="18"/>
          <w:szCs w:val="18"/>
        </w:rPr>
        <w:t>★</w:t>
      </w:r>
      <w:r w:rsidRPr="00C64AE1">
        <w:rPr>
          <w:rFonts w:ascii="楷体" w:eastAsia="楷体" w:hAnsi="楷体" w:cs="Times New Roman" w:hint="eastAsia"/>
          <w:sz w:val="18"/>
          <w:szCs w:val="18"/>
        </w:rPr>
        <w:tab/>
        <w:t xml:space="preserve">  本报告可能附带其他网站的地址或者超级链接，对于可能涉及的地址或超级链接，除本公司官方网站外，本公司不对其内容负责，客户需自行承担浏览这些网站的费用及风险。</w:t>
      </w:r>
    </w:p>
    <w:p w:rsidR="00715799" w:rsidRPr="00C64AE1" w:rsidRDefault="00715799" w:rsidP="00446770">
      <w:pPr>
        <w:spacing w:afterLines="30"/>
        <w:ind w:leftChars="270" w:left="567" w:rightChars="336" w:right="706"/>
        <w:rPr>
          <w:rFonts w:ascii="楷体" w:eastAsia="楷体" w:hAnsi="楷体" w:cs="Times New Roman"/>
          <w:sz w:val="18"/>
          <w:szCs w:val="18"/>
        </w:rPr>
      </w:pPr>
      <w:r w:rsidRPr="00C64AE1">
        <w:rPr>
          <w:rFonts w:ascii="楷体" w:eastAsia="楷体" w:hAnsi="楷体" w:cs="Times New Roman" w:hint="eastAsia"/>
          <w:sz w:val="18"/>
          <w:szCs w:val="18"/>
        </w:rPr>
        <w:t>★</w:t>
      </w:r>
      <w:r w:rsidRPr="00C64AE1">
        <w:rPr>
          <w:rFonts w:ascii="楷体" w:eastAsia="楷体" w:hAnsi="楷体" w:cs="Times New Roman" w:hint="eastAsia"/>
          <w:sz w:val="18"/>
          <w:szCs w:val="18"/>
        </w:rPr>
        <w:tab/>
        <w:t xml:space="preserve">  本公司或关联机构可能会持有本报告所提及公司所发行的证券头寸并进行交易，还可能已经、正在或者争取向这些公司提供投资银行业务等各类服务。在法律许可的情况下，本公司的董事或者雇员可能担任本报告所提及公司的董事。撰写本报告的分析师的薪酬不是基于本公司个别投行收入而定，但是分析师的薪酬可能与投行整体收入有关，其中包括投行、销售与交易业务。因此，客户应当充分注意，本公司可能存在对报告客观性产生影响的利益冲突。</w:t>
      </w:r>
    </w:p>
    <w:p w:rsidR="00715799" w:rsidRPr="00C64AE1" w:rsidRDefault="00715799" w:rsidP="00446770">
      <w:pPr>
        <w:spacing w:afterLines="30"/>
        <w:ind w:leftChars="270" w:left="567" w:rightChars="336" w:right="706"/>
        <w:rPr>
          <w:rFonts w:ascii="楷体" w:eastAsia="楷体" w:hAnsi="楷体" w:cs="Times New Roman"/>
          <w:sz w:val="18"/>
          <w:szCs w:val="18"/>
        </w:rPr>
      </w:pPr>
      <w:r w:rsidRPr="00C64AE1">
        <w:rPr>
          <w:rFonts w:ascii="楷体" w:eastAsia="楷体" w:hAnsi="楷体" w:cs="Times New Roman" w:hint="eastAsia"/>
          <w:sz w:val="18"/>
          <w:szCs w:val="18"/>
        </w:rPr>
        <w:t>★</w:t>
      </w:r>
      <w:r w:rsidRPr="00C64AE1">
        <w:rPr>
          <w:rFonts w:ascii="楷体" w:eastAsia="楷体" w:hAnsi="楷体" w:cs="Times New Roman" w:hint="eastAsia"/>
          <w:sz w:val="18"/>
          <w:szCs w:val="18"/>
        </w:rPr>
        <w:tab/>
        <w:t xml:space="preserve">  在任何情况下，本报告中的信息或者所表述的意见并不构成对任何人的投资建议，任何人不应当将本报告作为做出投资决策的惟一因素。投资者应当自主做出投资决策并自行承担投资风险。本公司不就本报告的任何内容对任何投资做出任何形式的承诺或担保。任何形式的分享证券投资收益或者分担证券投资损失的书面或口头承诺均为无效。除法律强制性规定必须承担的责任外，本公司及雇员不对使用本报告及其内容所引发的任何直接或间接损失负任何责任。</w:t>
      </w:r>
    </w:p>
    <w:p w:rsidR="00715799" w:rsidRPr="00C64AE1" w:rsidRDefault="00715799" w:rsidP="00715799">
      <w:pPr>
        <w:ind w:leftChars="270" w:left="567" w:rightChars="336" w:right="706"/>
        <w:rPr>
          <w:rFonts w:ascii="楷体" w:eastAsia="楷体" w:hAnsi="楷体" w:cs="Times New Roman"/>
          <w:sz w:val="18"/>
          <w:szCs w:val="18"/>
        </w:rPr>
      </w:pPr>
      <w:r w:rsidRPr="00C64AE1">
        <w:rPr>
          <w:rFonts w:ascii="楷体" w:eastAsia="楷体" w:hAnsi="楷体" w:cs="Times New Roman" w:hint="eastAsia"/>
          <w:sz w:val="18"/>
          <w:szCs w:val="18"/>
        </w:rPr>
        <w:t>★</w:t>
      </w:r>
      <w:r w:rsidRPr="00C64AE1">
        <w:rPr>
          <w:rFonts w:ascii="楷体" w:eastAsia="楷体" w:hAnsi="楷体" w:cs="Times New Roman" w:hint="eastAsia"/>
          <w:sz w:val="18"/>
          <w:szCs w:val="18"/>
        </w:rPr>
        <w:tab/>
        <w:t xml:space="preserve">  本报告版权归本公司所有，保留一切权利。除非另有规定外，本报告的所有材料的版权均属本公司所有。未经本公司事前书面授权，任何组织或个人不得以任何方式发送、转载、复制、修改本报告及其所包含的材料、内容。所有于本报告中使用的商标、服务标识及标识均为本公司所有。</w:t>
      </w:r>
    </w:p>
    <w:p w:rsidR="00715799" w:rsidRPr="00C64AE1" w:rsidRDefault="00715799" w:rsidP="00446770">
      <w:pPr>
        <w:spacing w:afterLines="30"/>
        <w:ind w:leftChars="100" w:left="210" w:rightChars="100" w:right="210"/>
        <w:rPr>
          <w:rFonts w:ascii="楷体" w:eastAsia="楷体" w:hAnsi="楷体" w:cs="Times New Roman"/>
          <w:szCs w:val="24"/>
        </w:rPr>
      </w:pPr>
    </w:p>
    <w:p w:rsidR="00EB6861" w:rsidRPr="00C64AE1" w:rsidRDefault="00EB6861" w:rsidP="00715799"/>
    <w:sectPr w:rsidR="00EB6861" w:rsidRPr="00C64AE1" w:rsidSect="00FE0EF8">
      <w:pgSz w:w="11906" w:h="16838" w:code="9"/>
      <w:pgMar w:top="284" w:right="567" w:bottom="312" w:left="567" w:header="851" w:footer="284" w:gutter="0"/>
      <w:cols w:space="425"/>
      <w:titlePg/>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7AAA" w:rsidRDefault="00077AAA" w:rsidP="006776A7">
      <w:r>
        <w:separator/>
      </w:r>
    </w:p>
  </w:endnote>
  <w:endnote w:type="continuationSeparator" w:id="1">
    <w:p w:rsidR="00077AAA" w:rsidRDefault="00077AAA" w:rsidP="006776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874" w:rsidRDefault="00423A17" w:rsidP="00FE0EF8">
    <w:pPr>
      <w:pStyle w:val="a8"/>
      <w:rPr>
        <w:rStyle w:val="aa"/>
      </w:rPr>
    </w:pPr>
    <w:r>
      <w:rPr>
        <w:rStyle w:val="aa"/>
      </w:rPr>
      <w:fldChar w:fldCharType="begin"/>
    </w:r>
    <w:r w:rsidR="00023874">
      <w:rPr>
        <w:rStyle w:val="aa"/>
      </w:rPr>
      <w:instrText xml:space="preserve">PAGE  </w:instrText>
    </w:r>
    <w:r>
      <w:rPr>
        <w:rStyle w:val="a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874" w:rsidRPr="00D61E5C" w:rsidRDefault="00423A17" w:rsidP="00FE0EF8">
    <w:pPr>
      <w:pStyle w:val="a8"/>
      <w:ind w:firstLineChars="100" w:firstLine="180"/>
      <w:rPr>
        <w:rFonts w:ascii="楷体_GB2312" w:eastAsia="楷体_GB2312"/>
      </w:rPr>
    </w:pPr>
    <w:r w:rsidRPr="00423A17">
      <w:rPr>
        <w:noProof/>
      </w:rPr>
      <w:pict>
        <v:shapetype id="_x0000_t32" coordsize="21600,21600" o:spt="32" o:oned="t" path="m,l21600,21600e" filled="f">
          <v:path arrowok="t" fillok="f" o:connecttype="none"/>
          <o:lock v:ext="edit" shapetype="t"/>
        </v:shapetype>
        <v:shape id="AutoShape 1" o:spid="_x0000_s2053" type="#_x0000_t32" style="position:absolute;left:0;text-align:left;margin-left:221.3pt;margin-top:5.7pt;width:341.25pt;height:.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" strokecolor="#b30924" strokeweight=".5pt">
          <v:shadow color="#622423" opacity=".5" offset="1pt"/>
        </v:shape>
      </w:pict>
    </w:r>
    <w:r w:rsidR="00023874" w:rsidRPr="00D61E5C">
      <w:rPr>
        <w:rFonts w:ascii="楷体_GB2312" w:eastAsia="楷体_GB2312" w:hint="eastAsia"/>
      </w:rPr>
      <w:t>请</w:t>
    </w:r>
    <w:r w:rsidR="00023874">
      <w:rPr>
        <w:rFonts w:ascii="楷体_GB2312" w:eastAsia="楷体_GB2312" w:hint="eastAsia"/>
      </w:rPr>
      <w:t>务必仔细</w:t>
    </w:r>
    <w:r w:rsidR="00023874" w:rsidRPr="00D61E5C">
      <w:rPr>
        <w:rFonts w:ascii="楷体_GB2312" w:eastAsia="楷体_GB2312" w:hint="eastAsia"/>
      </w:rPr>
      <w:t>阅</w:t>
    </w:r>
    <w:r w:rsidR="00023874">
      <w:rPr>
        <w:rFonts w:ascii="楷体_GB2312" w:eastAsia="楷体_GB2312" w:hint="eastAsia"/>
      </w:rPr>
      <w:t>读</w:t>
    </w:r>
    <w:r w:rsidR="00023874" w:rsidRPr="00D61E5C">
      <w:rPr>
        <w:rFonts w:ascii="楷体_GB2312" w:eastAsia="楷体_GB2312" w:hint="eastAsia"/>
      </w:rPr>
      <w:t>报告结尾处</w:t>
    </w:r>
    <w:r w:rsidR="00023874">
      <w:rPr>
        <w:rFonts w:ascii="楷体_GB2312" w:eastAsia="楷体_GB2312" w:hint="eastAsia"/>
      </w:rPr>
      <w:t>的风险提示及</w:t>
    </w:r>
    <w:r w:rsidR="00023874" w:rsidRPr="00D61E5C">
      <w:rPr>
        <w:rFonts w:ascii="楷体_GB2312" w:eastAsia="楷体_GB2312" w:hint="eastAsia"/>
      </w:rPr>
      <w:t>免责</w:t>
    </w:r>
    <w:r w:rsidR="00023874">
      <w:rPr>
        <w:rFonts w:ascii="楷体_GB2312" w:eastAsia="楷体_GB2312" w:hint="eastAsia"/>
      </w:rPr>
      <w:t>声</w:t>
    </w:r>
    <w:r w:rsidR="00023874" w:rsidRPr="00D61E5C">
      <w:rPr>
        <w:rFonts w:ascii="楷体_GB2312" w:eastAsia="楷体_GB2312" w:hint="eastAsia"/>
      </w:rPr>
      <w:t xml:space="preserve">明  </w:t>
    </w:r>
  </w:p>
  <w:p w:rsidR="00023874" w:rsidRPr="00D61E5C" w:rsidRDefault="00023874" w:rsidP="00FE0EF8">
    <w:pPr>
      <w:pStyle w:val="a8"/>
      <w:ind w:firstLineChars="5150" w:firstLine="9270"/>
      <w:rPr>
        <w:rFonts w:ascii="楷体_GB2312" w:eastAsia="楷体_GB2312"/>
      </w:rPr>
    </w:pPr>
    <w:r>
      <w:rPr>
        <w:rFonts w:ascii="楷体_GB2312" w:eastAsia="楷体_GB2312" w:hint="eastAsia"/>
      </w:rPr>
      <w:t>中山</w:t>
    </w:r>
    <w:r w:rsidRPr="00D61E5C">
      <w:rPr>
        <w:rFonts w:ascii="楷体_GB2312" w:eastAsia="楷体_GB2312" w:hint="eastAsia"/>
      </w:rPr>
      <w:t xml:space="preserve">证券    </w:t>
    </w:r>
    <w:r w:rsidR="00423A17" w:rsidRPr="00D61E5C">
      <w:rPr>
        <w:rFonts w:ascii="楷体_GB2312" w:eastAsia="楷体_GB2312" w:hint="eastAsia"/>
      </w:rPr>
      <w:fldChar w:fldCharType="begin"/>
    </w:r>
    <w:r w:rsidRPr="00D61E5C">
      <w:rPr>
        <w:rFonts w:ascii="楷体_GB2312" w:eastAsia="楷体_GB2312" w:hint="eastAsia"/>
      </w:rPr>
      <w:instrText xml:space="preserve"> PAGE </w:instrText>
    </w:r>
    <w:r w:rsidR="00423A17" w:rsidRPr="00D61E5C">
      <w:rPr>
        <w:rFonts w:ascii="楷体_GB2312" w:eastAsia="楷体_GB2312" w:hint="eastAsia"/>
      </w:rPr>
      <w:fldChar w:fldCharType="separate"/>
    </w:r>
    <w:r w:rsidR="00446770">
      <w:rPr>
        <w:rFonts w:ascii="楷体_GB2312" w:eastAsia="楷体_GB2312"/>
        <w:noProof/>
      </w:rPr>
      <w:t>2</w:t>
    </w:r>
    <w:r w:rsidR="00423A17" w:rsidRPr="00D61E5C">
      <w:rPr>
        <w:rFonts w:ascii="楷体_GB2312" w:eastAsia="楷体_GB2312" w:hint="eastAsia"/>
      </w:rPr>
      <w:fldChar w:fldCharType="end"/>
    </w:r>
    <w:r w:rsidRPr="00D61E5C">
      <w:rPr>
        <w:rFonts w:ascii="楷体_GB2312" w:eastAsia="楷体_GB2312" w:hint="eastAsia"/>
        <w:lang w:val="zh-CN"/>
      </w:rPr>
      <w:t>/</w:t>
    </w:r>
    <w:r w:rsidR="00423A17" w:rsidRPr="00D61E5C">
      <w:rPr>
        <w:rFonts w:ascii="楷体_GB2312" w:eastAsia="楷体_GB2312" w:hint="eastAsia"/>
      </w:rPr>
      <w:fldChar w:fldCharType="begin"/>
    </w:r>
    <w:r w:rsidRPr="00D61E5C">
      <w:rPr>
        <w:rFonts w:ascii="楷体_GB2312" w:eastAsia="楷体_GB2312" w:hint="eastAsia"/>
      </w:rPr>
      <w:instrText xml:space="preserve"> NUMPAGES  </w:instrText>
    </w:r>
    <w:r w:rsidR="00423A17" w:rsidRPr="00D61E5C">
      <w:rPr>
        <w:rFonts w:ascii="楷体_GB2312" w:eastAsia="楷体_GB2312" w:hint="eastAsia"/>
      </w:rPr>
      <w:fldChar w:fldCharType="separate"/>
    </w:r>
    <w:r w:rsidR="00446770">
      <w:rPr>
        <w:rFonts w:ascii="楷体_GB2312" w:eastAsia="楷体_GB2312"/>
        <w:noProof/>
      </w:rPr>
      <w:t>21</w:t>
    </w:r>
    <w:r w:rsidR="00423A17" w:rsidRPr="00D61E5C">
      <w:rPr>
        <w:rFonts w:ascii="楷体_GB2312" w:eastAsia="楷体_GB2312" w:hint="eastAsi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874" w:rsidRPr="00D61E5C" w:rsidRDefault="00423A17" w:rsidP="00FE0EF8">
    <w:pPr>
      <w:pStyle w:val="a8"/>
      <w:ind w:firstLineChars="50" w:firstLine="90"/>
      <w:rPr>
        <w:rFonts w:ascii="楷体_GB2312" w:eastAsia="楷体_GB2312"/>
      </w:rPr>
    </w:pPr>
    <w:r w:rsidRPr="00423A17">
      <w:rPr>
        <w:noProof/>
      </w:rPr>
      <w:pict>
        <v:shapetype id="_x0000_t32" coordsize="21600,21600" o:spt="32" o:oned="t" path="m,l21600,21600e" filled="f">
          <v:path arrowok="t" fillok="f" o:connecttype="none"/>
          <o:lock v:ext="edit" shapetype="t"/>
        </v:shapetype>
        <v:shape id="AutoShape 4" o:spid="_x0000_s2050" type="#_x0000_t32" style="position:absolute;left:0;text-align:left;margin-left:213.9pt;margin-top:5.85pt;width:336.15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" strokecolor="#b30924" strokeweight=".5pt">
          <v:shadow color="#622423" opacity=".5" offset="1pt"/>
        </v:shape>
      </w:pict>
    </w:r>
    <w:r w:rsidR="00023874" w:rsidRPr="00D61E5C">
      <w:rPr>
        <w:rFonts w:ascii="楷体_GB2312" w:eastAsia="楷体_GB2312" w:hint="eastAsia"/>
      </w:rPr>
      <w:t>请</w:t>
    </w:r>
    <w:r w:rsidR="00023874">
      <w:rPr>
        <w:rFonts w:ascii="楷体_GB2312" w:eastAsia="楷体_GB2312" w:hint="eastAsia"/>
      </w:rPr>
      <w:t>务必仔细</w:t>
    </w:r>
    <w:r w:rsidR="00023874" w:rsidRPr="00D61E5C">
      <w:rPr>
        <w:rFonts w:ascii="楷体_GB2312" w:eastAsia="楷体_GB2312" w:hint="eastAsia"/>
      </w:rPr>
      <w:t>阅</w:t>
    </w:r>
    <w:r w:rsidR="00023874">
      <w:rPr>
        <w:rFonts w:ascii="楷体_GB2312" w:eastAsia="楷体_GB2312" w:hint="eastAsia"/>
      </w:rPr>
      <w:t>读</w:t>
    </w:r>
    <w:r w:rsidR="00023874" w:rsidRPr="00D61E5C">
      <w:rPr>
        <w:rFonts w:ascii="楷体_GB2312" w:eastAsia="楷体_GB2312" w:hint="eastAsia"/>
      </w:rPr>
      <w:t>报告结尾处</w:t>
    </w:r>
    <w:r w:rsidR="00023874">
      <w:rPr>
        <w:rFonts w:ascii="楷体_GB2312" w:eastAsia="楷体_GB2312" w:hint="eastAsia"/>
      </w:rPr>
      <w:t>的风险提示及</w:t>
    </w:r>
    <w:r w:rsidR="00023874" w:rsidRPr="00D61E5C">
      <w:rPr>
        <w:rFonts w:ascii="楷体_GB2312" w:eastAsia="楷体_GB2312" w:hint="eastAsia"/>
      </w:rPr>
      <w:t>免责</w:t>
    </w:r>
    <w:r w:rsidR="00023874">
      <w:rPr>
        <w:rFonts w:ascii="楷体_GB2312" w:eastAsia="楷体_GB2312" w:hint="eastAsia"/>
      </w:rPr>
      <w:t>声</w:t>
    </w:r>
    <w:r w:rsidR="00023874" w:rsidRPr="00D61E5C">
      <w:rPr>
        <w:rFonts w:ascii="楷体_GB2312" w:eastAsia="楷体_GB2312" w:hint="eastAsia"/>
      </w:rPr>
      <w:t>明</w:t>
    </w:r>
  </w:p>
  <w:p w:rsidR="00023874" w:rsidRPr="00D61E5C" w:rsidRDefault="00023874" w:rsidP="00FE0EF8">
    <w:pPr>
      <w:pStyle w:val="a8"/>
      <w:ind w:firstLineChars="4950" w:firstLine="8910"/>
      <w:rPr>
        <w:rFonts w:ascii="楷体_GB2312" w:eastAsia="楷体_GB2312"/>
      </w:rPr>
    </w:pPr>
    <w:r>
      <w:rPr>
        <w:rFonts w:ascii="楷体_GB2312" w:eastAsia="楷体_GB2312" w:hint="eastAsia"/>
      </w:rPr>
      <w:t>中山</w:t>
    </w:r>
    <w:r w:rsidRPr="00D61E5C">
      <w:rPr>
        <w:rFonts w:ascii="楷体_GB2312" w:eastAsia="楷体_GB2312" w:hint="eastAsia"/>
      </w:rPr>
      <w:t>证券</w:t>
    </w:r>
    <w:r>
      <w:rPr>
        <w:rFonts w:ascii="楷体_GB2312" w:eastAsia="楷体_GB2312" w:hint="eastAsia"/>
      </w:rPr>
      <w:t xml:space="preserve">   </w:t>
    </w:r>
    <w:r w:rsidR="00423A17" w:rsidRPr="00D61E5C">
      <w:rPr>
        <w:rFonts w:ascii="楷体_GB2312" w:eastAsia="楷体_GB2312" w:hint="eastAsia"/>
      </w:rPr>
      <w:fldChar w:fldCharType="begin"/>
    </w:r>
    <w:r w:rsidRPr="00D61E5C">
      <w:rPr>
        <w:rFonts w:ascii="楷体_GB2312" w:eastAsia="楷体_GB2312" w:hint="eastAsia"/>
      </w:rPr>
      <w:instrText xml:space="preserve"> PAGE </w:instrText>
    </w:r>
    <w:r w:rsidR="00423A17" w:rsidRPr="00D61E5C">
      <w:rPr>
        <w:rFonts w:ascii="楷体_GB2312" w:eastAsia="楷体_GB2312" w:hint="eastAsia"/>
      </w:rPr>
      <w:fldChar w:fldCharType="separate"/>
    </w:r>
    <w:r w:rsidR="00446770">
      <w:rPr>
        <w:rFonts w:ascii="楷体_GB2312" w:eastAsia="楷体_GB2312"/>
        <w:noProof/>
      </w:rPr>
      <w:t>20</w:t>
    </w:r>
    <w:r w:rsidR="00423A17" w:rsidRPr="00D61E5C">
      <w:rPr>
        <w:rFonts w:ascii="楷体_GB2312" w:eastAsia="楷体_GB2312" w:hint="eastAsia"/>
      </w:rPr>
      <w:fldChar w:fldCharType="end"/>
    </w:r>
    <w:r w:rsidRPr="00D61E5C">
      <w:rPr>
        <w:rFonts w:ascii="楷体_GB2312" w:eastAsia="楷体_GB2312" w:hint="eastAsia"/>
        <w:lang w:val="zh-CN"/>
      </w:rPr>
      <w:t>/</w:t>
    </w:r>
    <w:r w:rsidR="00423A17" w:rsidRPr="00D61E5C">
      <w:rPr>
        <w:rFonts w:ascii="楷体_GB2312" w:eastAsia="楷体_GB2312" w:hint="eastAsia"/>
      </w:rPr>
      <w:fldChar w:fldCharType="begin"/>
    </w:r>
    <w:r w:rsidRPr="00D61E5C">
      <w:rPr>
        <w:rFonts w:ascii="楷体_GB2312" w:eastAsia="楷体_GB2312" w:hint="eastAsia"/>
      </w:rPr>
      <w:instrText xml:space="preserve"> NUMPAGES  </w:instrText>
    </w:r>
    <w:r w:rsidR="00423A17" w:rsidRPr="00D61E5C">
      <w:rPr>
        <w:rFonts w:ascii="楷体_GB2312" w:eastAsia="楷体_GB2312" w:hint="eastAsia"/>
      </w:rPr>
      <w:fldChar w:fldCharType="separate"/>
    </w:r>
    <w:r w:rsidR="00446770">
      <w:rPr>
        <w:rFonts w:ascii="楷体_GB2312" w:eastAsia="楷体_GB2312"/>
        <w:noProof/>
      </w:rPr>
      <w:t>21</w:t>
    </w:r>
    <w:r w:rsidR="00423A17" w:rsidRPr="00D61E5C">
      <w:rPr>
        <w:rFonts w:ascii="楷体_GB2312" w:eastAsia="楷体_GB2312" w:hint="eastAsia"/>
      </w:rPr>
      <w:fldChar w:fldCharType="end"/>
    </w:r>
  </w:p>
  <w:p w:rsidR="00023874" w:rsidRDefault="00023874">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874" w:rsidRPr="00D61E5C" w:rsidRDefault="00423A17" w:rsidP="00FE0EF8">
    <w:pPr>
      <w:pStyle w:val="a8"/>
      <w:rPr>
        <w:rFonts w:ascii="楷体_GB2312" w:eastAsia="楷体_GB2312"/>
      </w:rPr>
    </w:pPr>
    <w:r w:rsidRPr="00423A17">
      <w:rPr>
        <w:noProof/>
      </w:rPr>
      <w:pict>
        <v:shapetype id="_x0000_t32" coordsize="21600,21600" o:spt="32" o:oned="t" path="m,l21600,21600e" filled="f">
          <v:path arrowok="t" fillok="f" o:connecttype="none"/>
          <o:lock v:ext="edit" shapetype="t"/>
        </v:shapetype>
        <v:shape id="AutoShape 7" o:spid="_x0000_s2049" type="#_x0000_t32" style="position:absolute;margin-left:213.9pt;margin-top:5.5pt;width:338.85pt;height:.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" strokecolor="#b30924" strokeweight=".5pt">
          <v:shadow color="#622423" opacity=".5" offset="1pt"/>
        </v:shape>
      </w:pict>
    </w:r>
    <w:r w:rsidR="00023874">
      <w:rPr>
        <w:rFonts w:ascii="楷体_GB2312" w:eastAsia="楷体_GB2312" w:hint="eastAsia"/>
      </w:rPr>
      <w:t>请务必仔细阅读报告结尾处的风险提示及免责声</w:t>
    </w:r>
    <w:r w:rsidR="00023874" w:rsidRPr="00D61E5C">
      <w:rPr>
        <w:rFonts w:ascii="楷体_GB2312" w:eastAsia="楷体_GB2312" w:hint="eastAsia"/>
      </w:rPr>
      <w:t>明</w:t>
    </w:r>
  </w:p>
  <w:p w:rsidR="00023874" w:rsidRPr="00D61E5C" w:rsidRDefault="00023874" w:rsidP="00FE0EF8">
    <w:pPr>
      <w:pStyle w:val="a8"/>
      <w:ind w:firstLineChars="4950" w:firstLine="8910"/>
      <w:rPr>
        <w:rFonts w:ascii="楷体_GB2312" w:eastAsia="楷体_GB2312"/>
      </w:rPr>
    </w:pPr>
    <w:r>
      <w:rPr>
        <w:rFonts w:ascii="楷体_GB2312" w:eastAsia="楷体_GB2312" w:hint="eastAsia"/>
      </w:rPr>
      <w:t>中山</w:t>
    </w:r>
    <w:r w:rsidRPr="00D61E5C">
      <w:rPr>
        <w:rFonts w:ascii="楷体_GB2312" w:eastAsia="楷体_GB2312" w:hint="eastAsia"/>
      </w:rPr>
      <w:t>证券</w:t>
    </w:r>
    <w:r>
      <w:rPr>
        <w:rFonts w:ascii="楷体_GB2312" w:eastAsia="楷体_GB2312" w:hint="eastAsia"/>
      </w:rPr>
      <w:t xml:space="preserve">   </w:t>
    </w:r>
    <w:r w:rsidR="00423A17" w:rsidRPr="00D61E5C">
      <w:rPr>
        <w:rFonts w:ascii="楷体_GB2312" w:eastAsia="楷体_GB2312" w:hint="eastAsia"/>
      </w:rPr>
      <w:fldChar w:fldCharType="begin"/>
    </w:r>
    <w:r w:rsidRPr="00D61E5C">
      <w:rPr>
        <w:rFonts w:ascii="楷体_GB2312" w:eastAsia="楷体_GB2312" w:hint="eastAsia"/>
      </w:rPr>
      <w:instrText xml:space="preserve"> PAGE </w:instrText>
    </w:r>
    <w:r w:rsidR="00423A17" w:rsidRPr="00D61E5C">
      <w:rPr>
        <w:rFonts w:ascii="楷体_GB2312" w:eastAsia="楷体_GB2312" w:hint="eastAsia"/>
      </w:rPr>
      <w:fldChar w:fldCharType="separate"/>
    </w:r>
    <w:r w:rsidR="00446770">
      <w:rPr>
        <w:rFonts w:ascii="楷体_GB2312" w:eastAsia="楷体_GB2312"/>
        <w:noProof/>
      </w:rPr>
      <w:t>21</w:t>
    </w:r>
    <w:r w:rsidR="00423A17" w:rsidRPr="00D61E5C">
      <w:rPr>
        <w:rFonts w:ascii="楷体_GB2312" w:eastAsia="楷体_GB2312" w:hint="eastAsia"/>
      </w:rPr>
      <w:fldChar w:fldCharType="end"/>
    </w:r>
    <w:r w:rsidRPr="00D61E5C">
      <w:rPr>
        <w:rFonts w:ascii="楷体_GB2312" w:eastAsia="楷体_GB2312" w:hint="eastAsia"/>
        <w:lang w:val="zh-CN"/>
      </w:rPr>
      <w:t>/</w:t>
    </w:r>
    <w:r w:rsidR="00423A17" w:rsidRPr="00D61E5C">
      <w:rPr>
        <w:rFonts w:ascii="楷体_GB2312" w:eastAsia="楷体_GB2312" w:hint="eastAsia"/>
      </w:rPr>
      <w:fldChar w:fldCharType="begin"/>
    </w:r>
    <w:r w:rsidRPr="00D61E5C">
      <w:rPr>
        <w:rFonts w:ascii="楷体_GB2312" w:eastAsia="楷体_GB2312" w:hint="eastAsia"/>
      </w:rPr>
      <w:instrText xml:space="preserve"> NUMPAGES  </w:instrText>
    </w:r>
    <w:r w:rsidR="00423A17" w:rsidRPr="00D61E5C">
      <w:rPr>
        <w:rFonts w:ascii="楷体_GB2312" w:eastAsia="楷体_GB2312" w:hint="eastAsia"/>
      </w:rPr>
      <w:fldChar w:fldCharType="separate"/>
    </w:r>
    <w:r w:rsidR="00446770">
      <w:rPr>
        <w:rFonts w:ascii="楷体_GB2312" w:eastAsia="楷体_GB2312"/>
        <w:noProof/>
      </w:rPr>
      <w:t>21</w:t>
    </w:r>
    <w:r w:rsidR="00423A17" w:rsidRPr="00D61E5C">
      <w:rPr>
        <w:rFonts w:ascii="楷体_GB2312" w:eastAsia="楷体_GB2312" w:hint="eastAsi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7AAA" w:rsidRDefault="00077AAA" w:rsidP="006776A7">
      <w:r>
        <w:separator/>
      </w:r>
    </w:p>
  </w:footnote>
  <w:footnote w:type="continuationSeparator" w:id="1">
    <w:p w:rsidR="00077AAA" w:rsidRDefault="00077AAA" w:rsidP="006776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874" w:rsidRPr="005E14D0" w:rsidRDefault="00023874" w:rsidP="00FE0EF8">
    <w:pPr>
      <w:pStyle w:val="a7"/>
      <w:pBdr>
        <w:bottom w:val="none" w:sz="0" w:space="0" w:color="auto"/>
      </w:pBdr>
      <w:jc w:val="both"/>
      <w:rPr>
        <w:sz w:val="20"/>
        <w:szCs w:val="20"/>
      </w:rPr>
    </w:pPr>
    <w:r w:rsidRPr="00C40401">
      <w:rPr>
        <w:noProof/>
        <w:sz w:val="20"/>
        <w:szCs w:val="20"/>
      </w:rPr>
      <w:drawing>
        <wp:anchor distT="0" distB="0" distL="114300" distR="114300" simplePos="0" relativeHeight="251663872" behindDoc="0" locked="0" layoutInCell="1" allowOverlap="1">
          <wp:simplePos x="0" y="0"/>
          <wp:positionH relativeFrom="column">
            <wp:posOffset>486410</wp:posOffset>
          </wp:positionH>
          <wp:positionV relativeFrom="paragraph">
            <wp:posOffset>-245110</wp:posOffset>
          </wp:positionV>
          <wp:extent cx="1400175" cy="400050"/>
          <wp:effectExtent l="19050" t="0" r="9525" b="0"/>
          <wp:wrapNone/>
          <wp:docPr id="8" name="图片 27"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3"/>
                  <pic:cNvPicPr>
                    <a:picLocks noChangeAspect="1" noChangeArrowheads="1"/>
                  </pic:cNvPicPr>
                </pic:nvPicPr>
                <pic:blipFill>
                  <a:blip r:embed="rId1"/>
                  <a:srcRect/>
                  <a:stretch>
                    <a:fillRect/>
                  </a:stretch>
                </pic:blipFill>
                <pic:spPr bwMode="auto">
                  <a:xfrm>
                    <a:off x="0" y="0"/>
                    <a:ext cx="1400175" cy="400050"/>
                  </a:xfrm>
                  <a:prstGeom prst="rect">
                    <a:avLst/>
                  </a:prstGeom>
                  <a:noFill/>
                  <a:ln w="9525">
                    <a:noFill/>
                    <a:miter lim="800000"/>
                    <a:headEnd/>
                    <a:tailEnd/>
                  </a:ln>
                </pic:spPr>
              </pic:pic>
            </a:graphicData>
          </a:graphic>
        </wp:anchor>
      </w:drawing>
    </w:r>
    <w:r w:rsidR="00423A17" w:rsidRPr="00423A17">
      <w:rPr>
        <w:noProof/>
      </w:rPr>
      <w:pict>
        <v:shapetype id="_x0000_t32" coordsize="21600,21600" o:spt="32" o:oned="t" path="m,l21600,21600e" filled="f">
          <v:path arrowok="t" fillok="f" o:connecttype="none"/>
          <o:lock v:ext="edit" shapetype="t"/>
        </v:shapetype>
        <v:shape id="AutoShape 2" o:spid="_x0000_s2055" type="#_x0000_t32" style="position:absolute;left:0;text-align:left;margin-left:107.05pt;margin-top:6.2pt;width:340.15pt;height:0;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" strokecolor="#b30924" strokeweight=".5pt"/>
      </w:pict>
    </w:r>
    <w:r w:rsidR="00423A17" w:rsidRPr="00423A17">
      <w:rPr>
        <w:noProof/>
      </w:rPr>
      <w:pict>
        <v:shapetype id="_x0000_t202" coordsize="21600,21600" o:spt="202" path="m,l,21600r21600,l21600,xe">
          <v:stroke joinstyle="miter"/>
          <v:path gradientshapeok="t" o:connecttype="rect"/>
        </v:shapetype>
        <v:shape id="Text Box 3" o:spid="_x0000_s2054" type="#_x0000_t202" style="position:absolute;left:0;text-align:left;margin-left:450.75pt;margin-top:-9.55pt;width:90.75pt;height:18.25pt;z-index:251663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" fillcolor="#af2135" stroked="f">
          <v:textbox inset="0,0,0,0">
            <w:txbxContent>
              <w:tbl>
                <w:tblPr>
                  <w:tblW w:w="5000" w:type="pct"/>
                  <w:tblLook w:val="04A0"/>
                </w:tblPr>
                <w:tblGrid>
                  <w:gridCol w:w="2046"/>
                </w:tblGrid>
                <w:tr w:rsidR="00023874">
                  <w:trPr>
                    <w:trHeight w:hRule="exact" w:val="20"/>
                  </w:trPr>
                  <w:tc>
                    <w:tcPr>
                      <w:tcW w:w="5000" w:type="pct"/>
                      <w:shd w:val="clear" w:color="auto" w:fill="auto"/>
                    </w:tcPr>
                    <w:p w:rsidR="00023874" w:rsidRPr="002E46BD" w:rsidRDefault="00023874" w:rsidP="00FE0EF8">
                      <w:pPr>
                        <w:rPr>
                          <w:rFonts w:ascii="Calibri" w:hAnsi="Calibri"/>
                        </w:rPr>
                      </w:pPr>
                      <w:r w:rsidRPr="002E46BD">
                        <w:rPr>
                          <w:rFonts w:ascii="Calibri" w:hAnsi="Calibri" w:hint="eastAsia"/>
                        </w:rPr>
                        <w:t>[table_page1]</w:t>
                      </w:r>
                    </w:p>
                  </w:tc>
                </w:tr>
                <w:tr w:rsidR="00023874">
                  <w:trPr>
                    <w:trHeight w:val="340"/>
                  </w:trPr>
                  <w:tc>
                    <w:tcPr>
                      <w:tcW w:w="5000" w:type="pct"/>
                      <w:shd w:val="clear" w:color="auto" w:fill="auto"/>
                      <w:vAlign w:val="center"/>
                    </w:tcPr>
                    <w:p w:rsidR="00023874" w:rsidRPr="002E46BD" w:rsidRDefault="00023874" w:rsidP="00FE0EF8">
                      <w:pPr>
                        <w:rPr>
                          <w:rFonts w:ascii="楷体_GB2312" w:eastAsia="楷体_GB2312" w:hAnsi="Calibri"/>
                          <w:b/>
                          <w:color w:val="FFFFFF"/>
                          <w:sz w:val="18"/>
                          <w:szCs w:val="18"/>
                        </w:rPr>
                      </w:pPr>
                      <w:r>
                        <w:rPr>
                          <w:rFonts w:ascii="楷体_GB2312" w:eastAsia="楷体_GB2312" w:hAnsi="Calibri" w:hint="eastAsia"/>
                          <w:b/>
                          <w:color w:val="FFFFFF"/>
                          <w:sz w:val="18"/>
                          <w:szCs w:val="18"/>
                        </w:rPr>
                        <w:t>内部报告，请勿外传</w:t>
                      </w:r>
                    </w:p>
                  </w:tc>
                </w:tr>
              </w:tbl>
              <w:p w:rsidR="00023874" w:rsidRPr="001D0732" w:rsidRDefault="00023874" w:rsidP="00FE0EF8">
                <w:pPr>
                  <w:rPr>
                    <w:szCs w:val="18"/>
                  </w:rPr>
                </w:pPr>
              </w:p>
            </w:txbxContent>
          </v:textbox>
        </v:shape>
      </w:pict>
    </w:r>
    <w:r w:rsidRPr="005E14D0">
      <w:rPr>
        <w:rFonts w:hint="eastAsia"/>
        <w:sz w:val="20"/>
        <w:szCs w:val="2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874" w:rsidRPr="00AF326F" w:rsidRDefault="00023874" w:rsidP="00FE0EF8">
    <w:pPr>
      <w:pStyle w:val="a7"/>
      <w:pBdr>
        <w:bottom w:val="none" w:sz="0" w:space="0" w:color="auto"/>
      </w:pBdr>
      <w:jc w:val="both"/>
      <w:rPr>
        <w:sz w:val="20"/>
        <w:szCs w:val="20"/>
      </w:rPr>
    </w:pPr>
    <w:r w:rsidRPr="00C40401">
      <w:rPr>
        <w:noProof/>
        <w:sz w:val="20"/>
        <w:szCs w:val="20"/>
      </w:rPr>
      <w:drawing>
        <wp:anchor distT="0" distB="0" distL="114300" distR="114300" simplePos="0" relativeHeight="251662848" behindDoc="0" locked="0" layoutInCell="1" allowOverlap="1">
          <wp:simplePos x="0" y="0"/>
          <wp:positionH relativeFrom="column">
            <wp:posOffset>249555</wp:posOffset>
          </wp:positionH>
          <wp:positionV relativeFrom="paragraph">
            <wp:posOffset>-245110</wp:posOffset>
          </wp:positionV>
          <wp:extent cx="1400175" cy="400050"/>
          <wp:effectExtent l="19050" t="0" r="9525" b="0"/>
          <wp:wrapNone/>
          <wp:docPr id="7" name="图片 27"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3"/>
                  <pic:cNvPicPr>
                    <a:picLocks noChangeAspect="1" noChangeArrowheads="1"/>
                  </pic:cNvPicPr>
                </pic:nvPicPr>
                <pic:blipFill>
                  <a:blip r:embed="rId1"/>
                  <a:srcRect/>
                  <a:stretch>
                    <a:fillRect/>
                  </a:stretch>
                </pic:blipFill>
                <pic:spPr bwMode="auto">
                  <a:xfrm>
                    <a:off x="0" y="0"/>
                    <a:ext cx="1400175" cy="400050"/>
                  </a:xfrm>
                  <a:prstGeom prst="rect">
                    <a:avLst/>
                  </a:prstGeom>
                  <a:noFill/>
                  <a:ln w="9525">
                    <a:noFill/>
                    <a:miter lim="800000"/>
                    <a:headEnd/>
                    <a:tailEnd/>
                  </a:ln>
                </pic:spPr>
              </pic:pic>
            </a:graphicData>
          </a:graphic>
        </wp:anchor>
      </w:drawing>
    </w:r>
    <w:r w:rsidR="00423A17" w:rsidRPr="00423A17">
      <w:rPr>
        <w:noProof/>
      </w:rPr>
      <w:pict>
        <v:shapetype id="_x0000_t32" coordsize="21600,21600" o:spt="32" o:oned="t" path="m,l21600,21600e" filled="f">
          <v:path arrowok="t" fillok="f" o:connecttype="none"/>
          <o:lock v:ext="edit" shapetype="t"/>
        </v:shapetype>
        <v:shape id="AutoShape 5" o:spid="_x0000_s2052" type="#_x0000_t32" style="position:absolute;left:0;text-align:left;margin-left:104.35pt;margin-top:6.2pt;width:340.15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" strokecolor="#b30924" strokeweight=".5pt"/>
      </w:pict>
    </w:r>
    <w:r w:rsidR="00423A17" w:rsidRPr="00423A17">
      <w:rPr>
        <w:noProof/>
      </w:rPr>
      <w:pict>
        <v:shapetype id="_x0000_t202" coordsize="21600,21600" o:spt="202" path="m,l,21600r21600,l21600,xe">
          <v:stroke joinstyle="miter"/>
          <v:path gradientshapeok="t" o:connecttype="rect"/>
        </v:shapetype>
        <v:shape id="Text Box 6" o:spid="_x0000_s2051" type="#_x0000_t202" style="position:absolute;left:0;text-align:left;margin-left:450.75pt;margin-top:-9.55pt;width:90pt;height:18.25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" fillcolor="#af2135" stroked="f">
          <v:textbox inset="0,0,0,0">
            <w:txbxContent>
              <w:tbl>
                <w:tblPr>
                  <w:tblW w:w="5000" w:type="pct"/>
                  <w:tblLook w:val="04A0"/>
                </w:tblPr>
                <w:tblGrid>
                  <w:gridCol w:w="2031"/>
                </w:tblGrid>
                <w:tr w:rsidR="00023874">
                  <w:trPr>
                    <w:trHeight w:hRule="exact" w:val="20"/>
                  </w:trPr>
                  <w:tc>
                    <w:tcPr>
                      <w:tcW w:w="5000" w:type="pct"/>
                      <w:shd w:val="clear" w:color="auto" w:fill="auto"/>
                    </w:tcPr>
                    <w:p w:rsidR="00023874" w:rsidRPr="002E46BD" w:rsidRDefault="00023874" w:rsidP="00FE0EF8">
                      <w:pPr>
                        <w:rPr>
                          <w:rFonts w:ascii="Calibri" w:hAnsi="Calibri"/>
                        </w:rPr>
                      </w:pPr>
                      <w:r w:rsidRPr="002E46BD">
                        <w:rPr>
                          <w:rFonts w:ascii="Calibri" w:hAnsi="Calibri" w:hint="eastAsia"/>
                        </w:rPr>
                        <w:t>[table_page]</w:t>
                      </w:r>
                    </w:p>
                  </w:tc>
                </w:tr>
                <w:tr w:rsidR="00023874">
                  <w:trPr>
                    <w:trHeight w:val="340"/>
                  </w:trPr>
                  <w:tc>
                    <w:tcPr>
                      <w:tcW w:w="5000" w:type="pct"/>
                      <w:shd w:val="clear" w:color="auto" w:fill="auto"/>
                      <w:vAlign w:val="center"/>
                    </w:tcPr>
                    <w:p w:rsidR="00023874" w:rsidRPr="002E46BD" w:rsidRDefault="00023874" w:rsidP="00FE0EF8">
                      <w:pPr>
                        <w:rPr>
                          <w:rFonts w:ascii="楷体_GB2312" w:eastAsia="楷体_GB2312" w:hAnsi="Calibri"/>
                          <w:b/>
                          <w:color w:val="FFFFFF"/>
                          <w:sz w:val="18"/>
                          <w:szCs w:val="18"/>
                        </w:rPr>
                      </w:pPr>
                      <w:r>
                        <w:rPr>
                          <w:rFonts w:ascii="楷体_GB2312" w:eastAsia="楷体_GB2312" w:hAnsi="Calibri" w:hint="eastAsia"/>
                          <w:b/>
                          <w:color w:val="FFFFFF"/>
                          <w:sz w:val="18"/>
                          <w:szCs w:val="18"/>
                        </w:rPr>
                        <w:t>内部报告，请勿外传</w:t>
                      </w:r>
                    </w:p>
                  </w:tc>
                </w:tr>
              </w:tbl>
              <w:p w:rsidR="00023874" w:rsidRPr="00713F24" w:rsidRDefault="00023874" w:rsidP="00FE0EF8">
                <w:pPr>
                  <w:rPr>
                    <w:rFonts w:ascii="楷体_GB2312" w:eastAsia="楷体_GB2312"/>
                    <w:b/>
                    <w:color w:val="FFFFFF"/>
                    <w:sz w:val="18"/>
                    <w:szCs w:val="18"/>
                  </w:rPr>
                </w:pPr>
              </w:p>
            </w:txbxContent>
          </v:textbox>
        </v:shape>
      </w:pict>
    </w:r>
    <w:r w:rsidRPr="005E14D0">
      <w:rPr>
        <w:rFonts w:hint="eastAsia"/>
        <w:sz w:val="20"/>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6324E2"/>
    <w:multiLevelType w:val="multilevel"/>
    <w:tmpl w:val="9E6E8532"/>
    <w:lvl w:ilvl="0">
      <w:start w:val="1"/>
      <w:numFmt w:val="decimal"/>
      <w:pStyle w:val="a"/>
      <w:suff w:val="nothing"/>
      <w:lvlText w:val="%1."/>
      <w:lvlJc w:val="left"/>
      <w:pPr>
        <w:ind w:left="2520" w:hanging="227"/>
      </w:pPr>
      <w:rPr>
        <w:rFonts w:hint="eastAsia"/>
      </w:rPr>
    </w:lvl>
    <w:lvl w:ilvl="1">
      <w:start w:val="1"/>
      <w:numFmt w:val="decimal"/>
      <w:pStyle w:val="a0"/>
      <w:suff w:val="nothing"/>
      <w:lvlText w:val="%1.%2."/>
      <w:lvlJc w:val="left"/>
      <w:pPr>
        <w:ind w:left="3261" w:firstLine="0"/>
      </w:pPr>
      <w:rPr>
        <w:rFonts w:ascii="Arial" w:hAnsi="Arial" w:cs="Arial" w:hint="default"/>
        <w:b/>
        <w:sz w:val="28"/>
      </w:rPr>
    </w:lvl>
    <w:lvl w:ilvl="2">
      <w:start w:val="1"/>
      <w:numFmt w:val="decimal"/>
      <w:pStyle w:val="a1"/>
      <w:suff w:val="nothing"/>
      <w:lvlText w:val="%1.%2.%3."/>
      <w:lvlJc w:val="left"/>
      <w:pPr>
        <w:ind w:left="2293" w:firstLine="0"/>
      </w:pPr>
      <w:rPr>
        <w:rFonts w:hint="eastAsia"/>
      </w:rPr>
    </w:lvl>
    <w:lvl w:ilvl="3">
      <w:start w:val="1"/>
      <w:numFmt w:val="decimal"/>
      <w:lvlText w:val="%4."/>
      <w:lvlJc w:val="left"/>
      <w:pPr>
        <w:ind w:left="3973" w:hanging="420"/>
      </w:pPr>
      <w:rPr>
        <w:rFonts w:hint="eastAsia"/>
      </w:rPr>
    </w:lvl>
    <w:lvl w:ilvl="4">
      <w:start w:val="1"/>
      <w:numFmt w:val="lowerLetter"/>
      <w:lvlText w:val="%5)"/>
      <w:lvlJc w:val="left"/>
      <w:pPr>
        <w:ind w:left="4393" w:hanging="420"/>
      </w:pPr>
      <w:rPr>
        <w:rFonts w:hint="eastAsia"/>
      </w:rPr>
    </w:lvl>
    <w:lvl w:ilvl="5">
      <w:start w:val="1"/>
      <w:numFmt w:val="lowerRoman"/>
      <w:lvlText w:val="%6."/>
      <w:lvlJc w:val="right"/>
      <w:pPr>
        <w:ind w:left="4813" w:hanging="420"/>
      </w:pPr>
      <w:rPr>
        <w:rFonts w:hint="eastAsia"/>
      </w:rPr>
    </w:lvl>
    <w:lvl w:ilvl="6">
      <w:start w:val="1"/>
      <w:numFmt w:val="decimal"/>
      <w:lvlText w:val="%7."/>
      <w:lvlJc w:val="left"/>
      <w:pPr>
        <w:ind w:left="5233" w:hanging="420"/>
      </w:pPr>
      <w:rPr>
        <w:rFonts w:hint="eastAsia"/>
      </w:rPr>
    </w:lvl>
    <w:lvl w:ilvl="7">
      <w:start w:val="1"/>
      <w:numFmt w:val="lowerLetter"/>
      <w:lvlText w:val="%8)"/>
      <w:lvlJc w:val="left"/>
      <w:pPr>
        <w:ind w:left="5653" w:hanging="420"/>
      </w:pPr>
      <w:rPr>
        <w:rFonts w:hint="eastAsia"/>
      </w:rPr>
    </w:lvl>
    <w:lvl w:ilvl="8">
      <w:start w:val="1"/>
      <w:numFmt w:val="lowerRoman"/>
      <w:lvlText w:val="%9."/>
      <w:lvlJc w:val="right"/>
      <w:pPr>
        <w:ind w:left="6073" w:hanging="420"/>
      </w:pPr>
      <w:rPr>
        <w:rFonts w:hint="eastAsia"/>
      </w:rPr>
    </w:lvl>
  </w:abstractNum>
  <w:abstractNum w:abstractNumId="1">
    <w:nsid w:val="60363815"/>
    <w:multiLevelType w:val="hybridMultilevel"/>
    <w:tmpl w:val="87960B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4DD2EDD"/>
    <w:multiLevelType w:val="hybridMultilevel"/>
    <w:tmpl w:val="2E6AED14"/>
    <w:lvl w:ilvl="0" w:tplc="A25C24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0C87648"/>
    <w:multiLevelType w:val="hybridMultilevel"/>
    <w:tmpl w:val="72B61536"/>
    <w:lvl w:ilvl="0" w:tplc="1408B968">
      <w:start w:val="1"/>
      <w:numFmt w:val="bullet"/>
      <w:pStyle w:val="a2"/>
      <w:suff w:val="nothing"/>
      <w:lvlText w:val=""/>
      <w:lvlJc w:val="left"/>
      <w:pPr>
        <w:ind w:left="227" w:hanging="227"/>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732B0F10"/>
    <w:multiLevelType w:val="hybridMultilevel"/>
    <w:tmpl w:val="76D2B3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7C22620"/>
    <w:multiLevelType w:val="hybridMultilevel"/>
    <w:tmpl w:val="82C2E7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7826"/>
    <o:shapelayout v:ext="edit">
      <o:idmap v:ext="edit" data="2"/>
      <o:rules v:ext="edit">
        <o:r id="V:Rule6" type="connector" idref="#AutoShape 7"/>
        <o:r id="V:Rule7" type="connector" idref="#AutoShape 5"/>
        <o:r id="V:Rule8" type="connector" idref="#AutoShape 4"/>
        <o:r id="V:Rule9" type="connector" idref="#AutoShape 1"/>
        <o:r id="V:Rule10" type="connector" idref="#AutoShape 2"/>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F10B1"/>
    <w:rsid w:val="00000456"/>
    <w:rsid w:val="00004A5E"/>
    <w:rsid w:val="000079B9"/>
    <w:rsid w:val="00007A88"/>
    <w:rsid w:val="0001125A"/>
    <w:rsid w:val="000170EC"/>
    <w:rsid w:val="00020FE3"/>
    <w:rsid w:val="00021A79"/>
    <w:rsid w:val="00023874"/>
    <w:rsid w:val="00023C1E"/>
    <w:rsid w:val="0002415A"/>
    <w:rsid w:val="00025ACE"/>
    <w:rsid w:val="000272EE"/>
    <w:rsid w:val="0003272F"/>
    <w:rsid w:val="00032DB0"/>
    <w:rsid w:val="00033954"/>
    <w:rsid w:val="00037499"/>
    <w:rsid w:val="000379C2"/>
    <w:rsid w:val="0005101B"/>
    <w:rsid w:val="00052361"/>
    <w:rsid w:val="00054AE7"/>
    <w:rsid w:val="00054C6B"/>
    <w:rsid w:val="000615C4"/>
    <w:rsid w:val="00063005"/>
    <w:rsid w:val="00064AC6"/>
    <w:rsid w:val="00077AAA"/>
    <w:rsid w:val="00077B1F"/>
    <w:rsid w:val="000849BF"/>
    <w:rsid w:val="00085FA0"/>
    <w:rsid w:val="00086238"/>
    <w:rsid w:val="00097966"/>
    <w:rsid w:val="000A5D48"/>
    <w:rsid w:val="000A5FE0"/>
    <w:rsid w:val="000A716A"/>
    <w:rsid w:val="000A7B61"/>
    <w:rsid w:val="000B1628"/>
    <w:rsid w:val="000B468A"/>
    <w:rsid w:val="000B5FE3"/>
    <w:rsid w:val="000C33A0"/>
    <w:rsid w:val="000C3B7D"/>
    <w:rsid w:val="000C628C"/>
    <w:rsid w:val="000C678D"/>
    <w:rsid w:val="000C6E0A"/>
    <w:rsid w:val="000D2C46"/>
    <w:rsid w:val="000E0CC8"/>
    <w:rsid w:val="000E5AB6"/>
    <w:rsid w:val="000F037D"/>
    <w:rsid w:val="000F07A5"/>
    <w:rsid w:val="000F265E"/>
    <w:rsid w:val="000F46B2"/>
    <w:rsid w:val="000F77D8"/>
    <w:rsid w:val="00100B70"/>
    <w:rsid w:val="0010238E"/>
    <w:rsid w:val="00104103"/>
    <w:rsid w:val="00106811"/>
    <w:rsid w:val="001116D7"/>
    <w:rsid w:val="0011794F"/>
    <w:rsid w:val="001203D7"/>
    <w:rsid w:val="001243A3"/>
    <w:rsid w:val="0012675E"/>
    <w:rsid w:val="001310CF"/>
    <w:rsid w:val="00136134"/>
    <w:rsid w:val="00137858"/>
    <w:rsid w:val="0014415C"/>
    <w:rsid w:val="00144B98"/>
    <w:rsid w:val="00145458"/>
    <w:rsid w:val="0014587A"/>
    <w:rsid w:val="00150809"/>
    <w:rsid w:val="001544CE"/>
    <w:rsid w:val="00155E09"/>
    <w:rsid w:val="0015728D"/>
    <w:rsid w:val="00163577"/>
    <w:rsid w:val="001658BD"/>
    <w:rsid w:val="00167CDA"/>
    <w:rsid w:val="00170B2E"/>
    <w:rsid w:val="00181C1B"/>
    <w:rsid w:val="00187AD1"/>
    <w:rsid w:val="00191D21"/>
    <w:rsid w:val="00193A3E"/>
    <w:rsid w:val="00195C0B"/>
    <w:rsid w:val="00196122"/>
    <w:rsid w:val="00196F9E"/>
    <w:rsid w:val="001A1312"/>
    <w:rsid w:val="001A6B32"/>
    <w:rsid w:val="001B17DC"/>
    <w:rsid w:val="001B2347"/>
    <w:rsid w:val="001B2B45"/>
    <w:rsid w:val="001B3098"/>
    <w:rsid w:val="001B3764"/>
    <w:rsid w:val="001C0184"/>
    <w:rsid w:val="001C075D"/>
    <w:rsid w:val="001C2BAC"/>
    <w:rsid w:val="001C6A73"/>
    <w:rsid w:val="001C6B25"/>
    <w:rsid w:val="001D0A7C"/>
    <w:rsid w:val="001D2ACF"/>
    <w:rsid w:val="001D4FB8"/>
    <w:rsid w:val="001E18E9"/>
    <w:rsid w:val="001E2FD7"/>
    <w:rsid w:val="001E2FED"/>
    <w:rsid w:val="001E6AA2"/>
    <w:rsid w:val="001F727E"/>
    <w:rsid w:val="00201190"/>
    <w:rsid w:val="00201A4D"/>
    <w:rsid w:val="00203BB7"/>
    <w:rsid w:val="002062C6"/>
    <w:rsid w:val="002075C7"/>
    <w:rsid w:val="00216E83"/>
    <w:rsid w:val="0021738A"/>
    <w:rsid w:val="00223AC0"/>
    <w:rsid w:val="002311FA"/>
    <w:rsid w:val="00235153"/>
    <w:rsid w:val="00235BF3"/>
    <w:rsid w:val="0023601A"/>
    <w:rsid w:val="002362B2"/>
    <w:rsid w:val="00237667"/>
    <w:rsid w:val="00242FF0"/>
    <w:rsid w:val="0025171E"/>
    <w:rsid w:val="00251D4D"/>
    <w:rsid w:val="00253FFA"/>
    <w:rsid w:val="0025402B"/>
    <w:rsid w:val="0025405B"/>
    <w:rsid w:val="00255B04"/>
    <w:rsid w:val="002627C1"/>
    <w:rsid w:val="0026340E"/>
    <w:rsid w:val="00264461"/>
    <w:rsid w:val="00271802"/>
    <w:rsid w:val="00280433"/>
    <w:rsid w:val="002806D8"/>
    <w:rsid w:val="00280928"/>
    <w:rsid w:val="00281F16"/>
    <w:rsid w:val="00282B17"/>
    <w:rsid w:val="002854F3"/>
    <w:rsid w:val="00286105"/>
    <w:rsid w:val="00286899"/>
    <w:rsid w:val="00290B11"/>
    <w:rsid w:val="00290DC4"/>
    <w:rsid w:val="002954E6"/>
    <w:rsid w:val="002971E9"/>
    <w:rsid w:val="002A3636"/>
    <w:rsid w:val="002A4659"/>
    <w:rsid w:val="002A6045"/>
    <w:rsid w:val="002A64E4"/>
    <w:rsid w:val="002B2822"/>
    <w:rsid w:val="002B2FA9"/>
    <w:rsid w:val="002B305F"/>
    <w:rsid w:val="002B392A"/>
    <w:rsid w:val="002B42E2"/>
    <w:rsid w:val="002B477C"/>
    <w:rsid w:val="002B53DE"/>
    <w:rsid w:val="002B628F"/>
    <w:rsid w:val="002C3031"/>
    <w:rsid w:val="002C36CC"/>
    <w:rsid w:val="002C39AB"/>
    <w:rsid w:val="002D4322"/>
    <w:rsid w:val="002D69BF"/>
    <w:rsid w:val="002D6B6C"/>
    <w:rsid w:val="002E06BF"/>
    <w:rsid w:val="002E4A15"/>
    <w:rsid w:val="002F6DC3"/>
    <w:rsid w:val="0030294F"/>
    <w:rsid w:val="00302E21"/>
    <w:rsid w:val="003043B9"/>
    <w:rsid w:val="00313EFC"/>
    <w:rsid w:val="00314218"/>
    <w:rsid w:val="003169FB"/>
    <w:rsid w:val="00321564"/>
    <w:rsid w:val="003221C7"/>
    <w:rsid w:val="00331480"/>
    <w:rsid w:val="003319C2"/>
    <w:rsid w:val="003367D1"/>
    <w:rsid w:val="0034245D"/>
    <w:rsid w:val="0035033A"/>
    <w:rsid w:val="00351FF3"/>
    <w:rsid w:val="0035260F"/>
    <w:rsid w:val="003544BA"/>
    <w:rsid w:val="003615BB"/>
    <w:rsid w:val="003642F3"/>
    <w:rsid w:val="00366402"/>
    <w:rsid w:val="00366B35"/>
    <w:rsid w:val="00371054"/>
    <w:rsid w:val="00373CE5"/>
    <w:rsid w:val="00380979"/>
    <w:rsid w:val="00380DC7"/>
    <w:rsid w:val="00385D0D"/>
    <w:rsid w:val="00386F7C"/>
    <w:rsid w:val="0039128F"/>
    <w:rsid w:val="0039448D"/>
    <w:rsid w:val="00394DCC"/>
    <w:rsid w:val="003A173B"/>
    <w:rsid w:val="003A21F2"/>
    <w:rsid w:val="003A7D68"/>
    <w:rsid w:val="003B6BF1"/>
    <w:rsid w:val="003C28EB"/>
    <w:rsid w:val="003C2EAF"/>
    <w:rsid w:val="003C46D5"/>
    <w:rsid w:val="003C4F84"/>
    <w:rsid w:val="003C694C"/>
    <w:rsid w:val="003D38D7"/>
    <w:rsid w:val="003E79A6"/>
    <w:rsid w:val="003F0E48"/>
    <w:rsid w:val="003F248D"/>
    <w:rsid w:val="003F2709"/>
    <w:rsid w:val="003F2936"/>
    <w:rsid w:val="003F68B7"/>
    <w:rsid w:val="004013CC"/>
    <w:rsid w:val="00411DBF"/>
    <w:rsid w:val="00413C22"/>
    <w:rsid w:val="0041761B"/>
    <w:rsid w:val="00423A17"/>
    <w:rsid w:val="00423F2C"/>
    <w:rsid w:val="0042727E"/>
    <w:rsid w:val="00431F1E"/>
    <w:rsid w:val="00435B83"/>
    <w:rsid w:val="0044359D"/>
    <w:rsid w:val="0044383A"/>
    <w:rsid w:val="00444FA3"/>
    <w:rsid w:val="00445C80"/>
    <w:rsid w:val="00446770"/>
    <w:rsid w:val="00452463"/>
    <w:rsid w:val="004561E5"/>
    <w:rsid w:val="00456A5A"/>
    <w:rsid w:val="00463EA4"/>
    <w:rsid w:val="004711F7"/>
    <w:rsid w:val="00474385"/>
    <w:rsid w:val="00476A6B"/>
    <w:rsid w:val="00480A52"/>
    <w:rsid w:val="00480C6A"/>
    <w:rsid w:val="00482FE2"/>
    <w:rsid w:val="00490FC4"/>
    <w:rsid w:val="0049331C"/>
    <w:rsid w:val="004A36A7"/>
    <w:rsid w:val="004B223B"/>
    <w:rsid w:val="004B25F2"/>
    <w:rsid w:val="004B3012"/>
    <w:rsid w:val="004B429D"/>
    <w:rsid w:val="004C1491"/>
    <w:rsid w:val="004C1C35"/>
    <w:rsid w:val="004C2FB5"/>
    <w:rsid w:val="004C2FC5"/>
    <w:rsid w:val="004C3C6C"/>
    <w:rsid w:val="004D12CE"/>
    <w:rsid w:val="004D149B"/>
    <w:rsid w:val="004D2384"/>
    <w:rsid w:val="004D2D9B"/>
    <w:rsid w:val="004D4CCF"/>
    <w:rsid w:val="004D623E"/>
    <w:rsid w:val="004E373F"/>
    <w:rsid w:val="004E3F01"/>
    <w:rsid w:val="004E5A2E"/>
    <w:rsid w:val="004E79C1"/>
    <w:rsid w:val="004F24A8"/>
    <w:rsid w:val="004F4696"/>
    <w:rsid w:val="005030D2"/>
    <w:rsid w:val="0050515E"/>
    <w:rsid w:val="00505E14"/>
    <w:rsid w:val="00506B35"/>
    <w:rsid w:val="0050741F"/>
    <w:rsid w:val="00507A19"/>
    <w:rsid w:val="0051043D"/>
    <w:rsid w:val="00510A9C"/>
    <w:rsid w:val="00510BBA"/>
    <w:rsid w:val="0051107F"/>
    <w:rsid w:val="00511147"/>
    <w:rsid w:val="005113B2"/>
    <w:rsid w:val="00517540"/>
    <w:rsid w:val="005240AE"/>
    <w:rsid w:val="005243BD"/>
    <w:rsid w:val="00524865"/>
    <w:rsid w:val="0052575B"/>
    <w:rsid w:val="00525E26"/>
    <w:rsid w:val="0052620F"/>
    <w:rsid w:val="00526318"/>
    <w:rsid w:val="0053341A"/>
    <w:rsid w:val="00535BC9"/>
    <w:rsid w:val="00536584"/>
    <w:rsid w:val="00540EC6"/>
    <w:rsid w:val="00543FA5"/>
    <w:rsid w:val="005456AC"/>
    <w:rsid w:val="00547D36"/>
    <w:rsid w:val="00551F9B"/>
    <w:rsid w:val="00552BB9"/>
    <w:rsid w:val="00553851"/>
    <w:rsid w:val="00553ED2"/>
    <w:rsid w:val="00553FD8"/>
    <w:rsid w:val="00556075"/>
    <w:rsid w:val="005563AF"/>
    <w:rsid w:val="005563B9"/>
    <w:rsid w:val="00565F91"/>
    <w:rsid w:val="0056665A"/>
    <w:rsid w:val="00570282"/>
    <w:rsid w:val="00572EC1"/>
    <w:rsid w:val="0057385A"/>
    <w:rsid w:val="00574F83"/>
    <w:rsid w:val="0057520C"/>
    <w:rsid w:val="005804E3"/>
    <w:rsid w:val="00580C15"/>
    <w:rsid w:val="00582D07"/>
    <w:rsid w:val="00583E1D"/>
    <w:rsid w:val="00591DE9"/>
    <w:rsid w:val="005966F1"/>
    <w:rsid w:val="00596B8A"/>
    <w:rsid w:val="005A29DD"/>
    <w:rsid w:val="005A7DC1"/>
    <w:rsid w:val="005B15D3"/>
    <w:rsid w:val="005B395F"/>
    <w:rsid w:val="005B5572"/>
    <w:rsid w:val="005B7C69"/>
    <w:rsid w:val="005C1B84"/>
    <w:rsid w:val="005C28CD"/>
    <w:rsid w:val="005C2F85"/>
    <w:rsid w:val="005C35A1"/>
    <w:rsid w:val="005D0E95"/>
    <w:rsid w:val="005D31AA"/>
    <w:rsid w:val="005D5E6E"/>
    <w:rsid w:val="005E0A64"/>
    <w:rsid w:val="005E0BE4"/>
    <w:rsid w:val="005F019B"/>
    <w:rsid w:val="005F0FE4"/>
    <w:rsid w:val="005F165A"/>
    <w:rsid w:val="005F17ED"/>
    <w:rsid w:val="005F24FD"/>
    <w:rsid w:val="005F5104"/>
    <w:rsid w:val="005F6E2C"/>
    <w:rsid w:val="006008DE"/>
    <w:rsid w:val="00601D09"/>
    <w:rsid w:val="00602C5B"/>
    <w:rsid w:val="00605E43"/>
    <w:rsid w:val="0061302A"/>
    <w:rsid w:val="00614441"/>
    <w:rsid w:val="006170A7"/>
    <w:rsid w:val="00620593"/>
    <w:rsid w:val="00620C40"/>
    <w:rsid w:val="006230F7"/>
    <w:rsid w:val="0062430D"/>
    <w:rsid w:val="006246DA"/>
    <w:rsid w:val="00625C58"/>
    <w:rsid w:val="006261D4"/>
    <w:rsid w:val="00626BA4"/>
    <w:rsid w:val="00632B7E"/>
    <w:rsid w:val="00637E0A"/>
    <w:rsid w:val="00645429"/>
    <w:rsid w:val="0064722E"/>
    <w:rsid w:val="0065200C"/>
    <w:rsid w:val="00654EAE"/>
    <w:rsid w:val="0066160E"/>
    <w:rsid w:val="00661E32"/>
    <w:rsid w:val="0066516C"/>
    <w:rsid w:val="00671DAD"/>
    <w:rsid w:val="006776A7"/>
    <w:rsid w:val="00680372"/>
    <w:rsid w:val="00682593"/>
    <w:rsid w:val="00686C1A"/>
    <w:rsid w:val="006912DB"/>
    <w:rsid w:val="00692F22"/>
    <w:rsid w:val="00694342"/>
    <w:rsid w:val="00695482"/>
    <w:rsid w:val="006967FC"/>
    <w:rsid w:val="00696882"/>
    <w:rsid w:val="00697663"/>
    <w:rsid w:val="006A115B"/>
    <w:rsid w:val="006B429A"/>
    <w:rsid w:val="006C11E5"/>
    <w:rsid w:val="006D4254"/>
    <w:rsid w:val="006D7A39"/>
    <w:rsid w:val="006E3066"/>
    <w:rsid w:val="006E4FDD"/>
    <w:rsid w:val="006E7C96"/>
    <w:rsid w:val="006F0300"/>
    <w:rsid w:val="006F322F"/>
    <w:rsid w:val="006F4634"/>
    <w:rsid w:val="00700323"/>
    <w:rsid w:val="00700EDA"/>
    <w:rsid w:val="007019D5"/>
    <w:rsid w:val="007059E2"/>
    <w:rsid w:val="00715196"/>
    <w:rsid w:val="00715799"/>
    <w:rsid w:val="00725AB2"/>
    <w:rsid w:val="00726067"/>
    <w:rsid w:val="007303AB"/>
    <w:rsid w:val="00731E83"/>
    <w:rsid w:val="007325AC"/>
    <w:rsid w:val="00732C35"/>
    <w:rsid w:val="007349C2"/>
    <w:rsid w:val="0074210E"/>
    <w:rsid w:val="007441B2"/>
    <w:rsid w:val="00750527"/>
    <w:rsid w:val="007547CC"/>
    <w:rsid w:val="00755580"/>
    <w:rsid w:val="00756869"/>
    <w:rsid w:val="0076374E"/>
    <w:rsid w:val="00765A8B"/>
    <w:rsid w:val="007676ED"/>
    <w:rsid w:val="00773937"/>
    <w:rsid w:val="007801D6"/>
    <w:rsid w:val="00780870"/>
    <w:rsid w:val="00780DDD"/>
    <w:rsid w:val="00781653"/>
    <w:rsid w:val="00790F88"/>
    <w:rsid w:val="00792A01"/>
    <w:rsid w:val="00794891"/>
    <w:rsid w:val="007958D9"/>
    <w:rsid w:val="00797936"/>
    <w:rsid w:val="007A133A"/>
    <w:rsid w:val="007A1A95"/>
    <w:rsid w:val="007A29EA"/>
    <w:rsid w:val="007A4439"/>
    <w:rsid w:val="007A4F02"/>
    <w:rsid w:val="007A6F1B"/>
    <w:rsid w:val="007A79F7"/>
    <w:rsid w:val="007B1A68"/>
    <w:rsid w:val="007B34C1"/>
    <w:rsid w:val="007B4845"/>
    <w:rsid w:val="007B4B86"/>
    <w:rsid w:val="007B5904"/>
    <w:rsid w:val="007B5AE4"/>
    <w:rsid w:val="007C0D6D"/>
    <w:rsid w:val="007C1848"/>
    <w:rsid w:val="007C312D"/>
    <w:rsid w:val="007C41E1"/>
    <w:rsid w:val="007C495B"/>
    <w:rsid w:val="007C4EDE"/>
    <w:rsid w:val="007C60C4"/>
    <w:rsid w:val="007D1BAA"/>
    <w:rsid w:val="007D3DFD"/>
    <w:rsid w:val="007D7C20"/>
    <w:rsid w:val="007E541F"/>
    <w:rsid w:val="007E784D"/>
    <w:rsid w:val="007F18C5"/>
    <w:rsid w:val="00804823"/>
    <w:rsid w:val="00805DA3"/>
    <w:rsid w:val="0081082B"/>
    <w:rsid w:val="008121EA"/>
    <w:rsid w:val="00813C5E"/>
    <w:rsid w:val="008206F4"/>
    <w:rsid w:val="00821744"/>
    <w:rsid w:val="0082315C"/>
    <w:rsid w:val="00824516"/>
    <w:rsid w:val="008308DD"/>
    <w:rsid w:val="00832AEF"/>
    <w:rsid w:val="008331B1"/>
    <w:rsid w:val="00833CB1"/>
    <w:rsid w:val="008346D9"/>
    <w:rsid w:val="00835398"/>
    <w:rsid w:val="0084085D"/>
    <w:rsid w:val="008416C5"/>
    <w:rsid w:val="00846D58"/>
    <w:rsid w:val="0085218E"/>
    <w:rsid w:val="00861F3E"/>
    <w:rsid w:val="00862070"/>
    <w:rsid w:val="00862227"/>
    <w:rsid w:val="008635AB"/>
    <w:rsid w:val="00864260"/>
    <w:rsid w:val="00867CC5"/>
    <w:rsid w:val="0087133C"/>
    <w:rsid w:val="00872624"/>
    <w:rsid w:val="00873911"/>
    <w:rsid w:val="00874D2B"/>
    <w:rsid w:val="00875A36"/>
    <w:rsid w:val="00875F82"/>
    <w:rsid w:val="00880DB3"/>
    <w:rsid w:val="00883EE3"/>
    <w:rsid w:val="008846A8"/>
    <w:rsid w:val="00891D21"/>
    <w:rsid w:val="00894BED"/>
    <w:rsid w:val="008958CE"/>
    <w:rsid w:val="00896813"/>
    <w:rsid w:val="00897D2C"/>
    <w:rsid w:val="008A6489"/>
    <w:rsid w:val="008A752D"/>
    <w:rsid w:val="008B0711"/>
    <w:rsid w:val="008B1971"/>
    <w:rsid w:val="008B1F58"/>
    <w:rsid w:val="008B2C5F"/>
    <w:rsid w:val="008B4745"/>
    <w:rsid w:val="008C081D"/>
    <w:rsid w:val="008C190F"/>
    <w:rsid w:val="008C1F82"/>
    <w:rsid w:val="008C4996"/>
    <w:rsid w:val="008C4F44"/>
    <w:rsid w:val="008C5807"/>
    <w:rsid w:val="008D5079"/>
    <w:rsid w:val="008D55F2"/>
    <w:rsid w:val="008D7680"/>
    <w:rsid w:val="008E62F2"/>
    <w:rsid w:val="008E6DE7"/>
    <w:rsid w:val="008F0254"/>
    <w:rsid w:val="008F07A5"/>
    <w:rsid w:val="008F3CB1"/>
    <w:rsid w:val="008F5F4F"/>
    <w:rsid w:val="008F689B"/>
    <w:rsid w:val="008F69AB"/>
    <w:rsid w:val="00904836"/>
    <w:rsid w:val="0090710B"/>
    <w:rsid w:val="009074E0"/>
    <w:rsid w:val="00910F5B"/>
    <w:rsid w:val="00920FE3"/>
    <w:rsid w:val="00921BFB"/>
    <w:rsid w:val="0092260A"/>
    <w:rsid w:val="00924278"/>
    <w:rsid w:val="009251CC"/>
    <w:rsid w:val="00926850"/>
    <w:rsid w:val="00930924"/>
    <w:rsid w:val="00932F87"/>
    <w:rsid w:val="00933159"/>
    <w:rsid w:val="00936843"/>
    <w:rsid w:val="0094419C"/>
    <w:rsid w:val="00947629"/>
    <w:rsid w:val="009509B2"/>
    <w:rsid w:val="009513FC"/>
    <w:rsid w:val="00951D08"/>
    <w:rsid w:val="0095205C"/>
    <w:rsid w:val="00953E2E"/>
    <w:rsid w:val="009562FD"/>
    <w:rsid w:val="00970F31"/>
    <w:rsid w:val="00971C32"/>
    <w:rsid w:val="0098282E"/>
    <w:rsid w:val="00982EBA"/>
    <w:rsid w:val="0098530D"/>
    <w:rsid w:val="009966CE"/>
    <w:rsid w:val="009971AE"/>
    <w:rsid w:val="009A475E"/>
    <w:rsid w:val="009A6987"/>
    <w:rsid w:val="009A7784"/>
    <w:rsid w:val="009B3836"/>
    <w:rsid w:val="009B530D"/>
    <w:rsid w:val="009B6347"/>
    <w:rsid w:val="009C2D08"/>
    <w:rsid w:val="009C4AAA"/>
    <w:rsid w:val="009D1DE8"/>
    <w:rsid w:val="009D256D"/>
    <w:rsid w:val="009D2D84"/>
    <w:rsid w:val="009D559F"/>
    <w:rsid w:val="009E4125"/>
    <w:rsid w:val="009E462F"/>
    <w:rsid w:val="009E5604"/>
    <w:rsid w:val="009F3F38"/>
    <w:rsid w:val="009F527C"/>
    <w:rsid w:val="009F5E32"/>
    <w:rsid w:val="00A00208"/>
    <w:rsid w:val="00A002C3"/>
    <w:rsid w:val="00A01008"/>
    <w:rsid w:val="00A01DB4"/>
    <w:rsid w:val="00A02B0E"/>
    <w:rsid w:val="00A03DEC"/>
    <w:rsid w:val="00A05048"/>
    <w:rsid w:val="00A05CBC"/>
    <w:rsid w:val="00A1437B"/>
    <w:rsid w:val="00A14AB8"/>
    <w:rsid w:val="00A15B9C"/>
    <w:rsid w:val="00A23627"/>
    <w:rsid w:val="00A240E6"/>
    <w:rsid w:val="00A25484"/>
    <w:rsid w:val="00A33EE9"/>
    <w:rsid w:val="00A35FDC"/>
    <w:rsid w:val="00A36785"/>
    <w:rsid w:val="00A5075B"/>
    <w:rsid w:val="00A51D20"/>
    <w:rsid w:val="00A51F24"/>
    <w:rsid w:val="00A540F0"/>
    <w:rsid w:val="00A60BA3"/>
    <w:rsid w:val="00A61CFD"/>
    <w:rsid w:val="00A65755"/>
    <w:rsid w:val="00A740BD"/>
    <w:rsid w:val="00A86E61"/>
    <w:rsid w:val="00A8727E"/>
    <w:rsid w:val="00A94ED6"/>
    <w:rsid w:val="00A977FA"/>
    <w:rsid w:val="00A978C5"/>
    <w:rsid w:val="00AA08D4"/>
    <w:rsid w:val="00AA55F4"/>
    <w:rsid w:val="00AA7685"/>
    <w:rsid w:val="00AA79D6"/>
    <w:rsid w:val="00AC444B"/>
    <w:rsid w:val="00AC4602"/>
    <w:rsid w:val="00AC55B5"/>
    <w:rsid w:val="00AD41A1"/>
    <w:rsid w:val="00AD460C"/>
    <w:rsid w:val="00AD6320"/>
    <w:rsid w:val="00AE11B2"/>
    <w:rsid w:val="00AE2192"/>
    <w:rsid w:val="00AE781E"/>
    <w:rsid w:val="00AF6D0F"/>
    <w:rsid w:val="00B03A9D"/>
    <w:rsid w:val="00B06A71"/>
    <w:rsid w:val="00B14290"/>
    <w:rsid w:val="00B24A22"/>
    <w:rsid w:val="00B255A5"/>
    <w:rsid w:val="00B3169F"/>
    <w:rsid w:val="00B34C35"/>
    <w:rsid w:val="00B43FFC"/>
    <w:rsid w:val="00B44E68"/>
    <w:rsid w:val="00B4737E"/>
    <w:rsid w:val="00B50956"/>
    <w:rsid w:val="00B6529A"/>
    <w:rsid w:val="00B65DFE"/>
    <w:rsid w:val="00B7316D"/>
    <w:rsid w:val="00B75B86"/>
    <w:rsid w:val="00B76232"/>
    <w:rsid w:val="00B767B2"/>
    <w:rsid w:val="00B80EA5"/>
    <w:rsid w:val="00B81075"/>
    <w:rsid w:val="00B81892"/>
    <w:rsid w:val="00B818AB"/>
    <w:rsid w:val="00B81BF5"/>
    <w:rsid w:val="00B82F36"/>
    <w:rsid w:val="00B843C2"/>
    <w:rsid w:val="00B97EF3"/>
    <w:rsid w:val="00BA54F1"/>
    <w:rsid w:val="00BB0DE4"/>
    <w:rsid w:val="00BB0E63"/>
    <w:rsid w:val="00BB5DCA"/>
    <w:rsid w:val="00BB6A0E"/>
    <w:rsid w:val="00BB73AC"/>
    <w:rsid w:val="00BC06B7"/>
    <w:rsid w:val="00BC10DD"/>
    <w:rsid w:val="00BC15D9"/>
    <w:rsid w:val="00BC7FB4"/>
    <w:rsid w:val="00BD2E4D"/>
    <w:rsid w:val="00BD32BC"/>
    <w:rsid w:val="00BD3AE9"/>
    <w:rsid w:val="00BD4262"/>
    <w:rsid w:val="00BD4988"/>
    <w:rsid w:val="00BD62DF"/>
    <w:rsid w:val="00BE148D"/>
    <w:rsid w:val="00BE7267"/>
    <w:rsid w:val="00BF3155"/>
    <w:rsid w:val="00BF750B"/>
    <w:rsid w:val="00C03CA7"/>
    <w:rsid w:val="00C060EC"/>
    <w:rsid w:val="00C12FF8"/>
    <w:rsid w:val="00C15ABE"/>
    <w:rsid w:val="00C162F4"/>
    <w:rsid w:val="00C1642D"/>
    <w:rsid w:val="00C16BC7"/>
    <w:rsid w:val="00C2126F"/>
    <w:rsid w:val="00C213D6"/>
    <w:rsid w:val="00C217B0"/>
    <w:rsid w:val="00C229D4"/>
    <w:rsid w:val="00C240F7"/>
    <w:rsid w:val="00C2533B"/>
    <w:rsid w:val="00C25CE9"/>
    <w:rsid w:val="00C32707"/>
    <w:rsid w:val="00C32DD7"/>
    <w:rsid w:val="00C330CF"/>
    <w:rsid w:val="00C33305"/>
    <w:rsid w:val="00C34D62"/>
    <w:rsid w:val="00C35BCA"/>
    <w:rsid w:val="00C37743"/>
    <w:rsid w:val="00C41365"/>
    <w:rsid w:val="00C437FA"/>
    <w:rsid w:val="00C44093"/>
    <w:rsid w:val="00C4462D"/>
    <w:rsid w:val="00C50331"/>
    <w:rsid w:val="00C5590E"/>
    <w:rsid w:val="00C60E97"/>
    <w:rsid w:val="00C60F24"/>
    <w:rsid w:val="00C64AE1"/>
    <w:rsid w:val="00C678B6"/>
    <w:rsid w:val="00C710AC"/>
    <w:rsid w:val="00C741C7"/>
    <w:rsid w:val="00C77F6A"/>
    <w:rsid w:val="00C81D9D"/>
    <w:rsid w:val="00C82846"/>
    <w:rsid w:val="00C83D90"/>
    <w:rsid w:val="00C84A11"/>
    <w:rsid w:val="00C85435"/>
    <w:rsid w:val="00C87534"/>
    <w:rsid w:val="00C90A01"/>
    <w:rsid w:val="00C9324D"/>
    <w:rsid w:val="00C954B1"/>
    <w:rsid w:val="00C97487"/>
    <w:rsid w:val="00CB0283"/>
    <w:rsid w:val="00CB247A"/>
    <w:rsid w:val="00CB302A"/>
    <w:rsid w:val="00CB415B"/>
    <w:rsid w:val="00CC2910"/>
    <w:rsid w:val="00CC45AA"/>
    <w:rsid w:val="00CC48BC"/>
    <w:rsid w:val="00CC5173"/>
    <w:rsid w:val="00CD71A6"/>
    <w:rsid w:val="00CE1D5A"/>
    <w:rsid w:val="00CE23F1"/>
    <w:rsid w:val="00CE75E4"/>
    <w:rsid w:val="00CE7AD6"/>
    <w:rsid w:val="00CF60F0"/>
    <w:rsid w:val="00CF6789"/>
    <w:rsid w:val="00CF77C4"/>
    <w:rsid w:val="00D05EE4"/>
    <w:rsid w:val="00D10FEB"/>
    <w:rsid w:val="00D153D6"/>
    <w:rsid w:val="00D15C08"/>
    <w:rsid w:val="00D2147D"/>
    <w:rsid w:val="00D22235"/>
    <w:rsid w:val="00D22A31"/>
    <w:rsid w:val="00D31A8A"/>
    <w:rsid w:val="00D32D0A"/>
    <w:rsid w:val="00D3327B"/>
    <w:rsid w:val="00D34331"/>
    <w:rsid w:val="00D40961"/>
    <w:rsid w:val="00D41C3D"/>
    <w:rsid w:val="00D41DFA"/>
    <w:rsid w:val="00D45ED0"/>
    <w:rsid w:val="00D47CC2"/>
    <w:rsid w:val="00D47F06"/>
    <w:rsid w:val="00D50AE9"/>
    <w:rsid w:val="00D70D25"/>
    <w:rsid w:val="00D719DB"/>
    <w:rsid w:val="00D72B3B"/>
    <w:rsid w:val="00D72FAA"/>
    <w:rsid w:val="00D762ED"/>
    <w:rsid w:val="00D8307B"/>
    <w:rsid w:val="00D83A4F"/>
    <w:rsid w:val="00D84A14"/>
    <w:rsid w:val="00D8610E"/>
    <w:rsid w:val="00D944F2"/>
    <w:rsid w:val="00D9504B"/>
    <w:rsid w:val="00D9575D"/>
    <w:rsid w:val="00D96F3B"/>
    <w:rsid w:val="00DA0999"/>
    <w:rsid w:val="00DA27CE"/>
    <w:rsid w:val="00DA36BD"/>
    <w:rsid w:val="00DA602D"/>
    <w:rsid w:val="00DB41D2"/>
    <w:rsid w:val="00DB443C"/>
    <w:rsid w:val="00DB4D5B"/>
    <w:rsid w:val="00DC736C"/>
    <w:rsid w:val="00DD20FD"/>
    <w:rsid w:val="00DD4076"/>
    <w:rsid w:val="00DD5585"/>
    <w:rsid w:val="00DD60EC"/>
    <w:rsid w:val="00DD7FEF"/>
    <w:rsid w:val="00DE137D"/>
    <w:rsid w:val="00DE2643"/>
    <w:rsid w:val="00DE7217"/>
    <w:rsid w:val="00DF10B1"/>
    <w:rsid w:val="00DF221D"/>
    <w:rsid w:val="00DF28B5"/>
    <w:rsid w:val="00DF2D03"/>
    <w:rsid w:val="00DF35C9"/>
    <w:rsid w:val="00DF3C68"/>
    <w:rsid w:val="00DF6C77"/>
    <w:rsid w:val="00E07D35"/>
    <w:rsid w:val="00E16F73"/>
    <w:rsid w:val="00E17BA8"/>
    <w:rsid w:val="00E20807"/>
    <w:rsid w:val="00E26028"/>
    <w:rsid w:val="00E30BD9"/>
    <w:rsid w:val="00E30D0B"/>
    <w:rsid w:val="00E32550"/>
    <w:rsid w:val="00E3377E"/>
    <w:rsid w:val="00E33FF0"/>
    <w:rsid w:val="00E355FE"/>
    <w:rsid w:val="00E40A2D"/>
    <w:rsid w:val="00E41039"/>
    <w:rsid w:val="00E429DA"/>
    <w:rsid w:val="00E4391E"/>
    <w:rsid w:val="00E46D7B"/>
    <w:rsid w:val="00E478A2"/>
    <w:rsid w:val="00E47F60"/>
    <w:rsid w:val="00E50EB9"/>
    <w:rsid w:val="00E542D5"/>
    <w:rsid w:val="00E55033"/>
    <w:rsid w:val="00E55F9F"/>
    <w:rsid w:val="00E57EDB"/>
    <w:rsid w:val="00E66B7C"/>
    <w:rsid w:val="00E66E9E"/>
    <w:rsid w:val="00E711D6"/>
    <w:rsid w:val="00E736DC"/>
    <w:rsid w:val="00E76153"/>
    <w:rsid w:val="00E77D6A"/>
    <w:rsid w:val="00E80D91"/>
    <w:rsid w:val="00E96925"/>
    <w:rsid w:val="00EA0A32"/>
    <w:rsid w:val="00EA2312"/>
    <w:rsid w:val="00EA4C9F"/>
    <w:rsid w:val="00EB054D"/>
    <w:rsid w:val="00EB2000"/>
    <w:rsid w:val="00EB5184"/>
    <w:rsid w:val="00EB5415"/>
    <w:rsid w:val="00EB664B"/>
    <w:rsid w:val="00EB6861"/>
    <w:rsid w:val="00EB723E"/>
    <w:rsid w:val="00EC0D4C"/>
    <w:rsid w:val="00EC12EE"/>
    <w:rsid w:val="00EC4368"/>
    <w:rsid w:val="00EC445E"/>
    <w:rsid w:val="00EC6405"/>
    <w:rsid w:val="00ED0594"/>
    <w:rsid w:val="00ED1BD2"/>
    <w:rsid w:val="00EE12B5"/>
    <w:rsid w:val="00EE4F60"/>
    <w:rsid w:val="00EF3471"/>
    <w:rsid w:val="00EF49C1"/>
    <w:rsid w:val="00EF4C37"/>
    <w:rsid w:val="00EF4E18"/>
    <w:rsid w:val="00EF55DD"/>
    <w:rsid w:val="00EF6063"/>
    <w:rsid w:val="00EF6F82"/>
    <w:rsid w:val="00F00FFC"/>
    <w:rsid w:val="00F031C0"/>
    <w:rsid w:val="00F108C1"/>
    <w:rsid w:val="00F2372D"/>
    <w:rsid w:val="00F24122"/>
    <w:rsid w:val="00F271E2"/>
    <w:rsid w:val="00F3099D"/>
    <w:rsid w:val="00F32764"/>
    <w:rsid w:val="00F35086"/>
    <w:rsid w:val="00F40E35"/>
    <w:rsid w:val="00F41848"/>
    <w:rsid w:val="00F42B84"/>
    <w:rsid w:val="00F45B2C"/>
    <w:rsid w:val="00F47803"/>
    <w:rsid w:val="00F51F99"/>
    <w:rsid w:val="00F61610"/>
    <w:rsid w:val="00F64AD3"/>
    <w:rsid w:val="00F67AD6"/>
    <w:rsid w:val="00F70B15"/>
    <w:rsid w:val="00F710D5"/>
    <w:rsid w:val="00F72131"/>
    <w:rsid w:val="00F72B8C"/>
    <w:rsid w:val="00F73EAE"/>
    <w:rsid w:val="00F8434D"/>
    <w:rsid w:val="00F85C51"/>
    <w:rsid w:val="00F92802"/>
    <w:rsid w:val="00FA09A3"/>
    <w:rsid w:val="00FA112E"/>
    <w:rsid w:val="00FA40F5"/>
    <w:rsid w:val="00FB2277"/>
    <w:rsid w:val="00FC0864"/>
    <w:rsid w:val="00FC65A1"/>
    <w:rsid w:val="00FD13D3"/>
    <w:rsid w:val="00FD5A0F"/>
    <w:rsid w:val="00FE0EF8"/>
    <w:rsid w:val="00FE172D"/>
    <w:rsid w:val="00FE743A"/>
    <w:rsid w:val="00FF00C0"/>
    <w:rsid w:val="00FF3670"/>
    <w:rsid w:val="00FF3F67"/>
    <w:rsid w:val="00FF789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C6B25"/>
    <w:pPr>
      <w:widowControl w:val="0"/>
      <w:jc w:val="both"/>
    </w:p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Char"/>
    <w:uiPriority w:val="99"/>
    <w:rsid w:val="00715799"/>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
    <w:name w:val="页眉 Char"/>
    <w:basedOn w:val="a4"/>
    <w:link w:val="a7"/>
    <w:uiPriority w:val="99"/>
    <w:rsid w:val="00715799"/>
    <w:rPr>
      <w:rFonts w:ascii="Times New Roman" w:eastAsia="宋体" w:hAnsi="Times New Roman" w:cs="Times New Roman"/>
      <w:sz w:val="18"/>
      <w:szCs w:val="18"/>
    </w:rPr>
  </w:style>
  <w:style w:type="paragraph" w:styleId="a8">
    <w:name w:val="footer"/>
    <w:basedOn w:val="a3"/>
    <w:link w:val="Char0"/>
    <w:uiPriority w:val="99"/>
    <w:rsid w:val="00715799"/>
    <w:pPr>
      <w:tabs>
        <w:tab w:val="center" w:pos="4153"/>
        <w:tab w:val="right" w:pos="8306"/>
      </w:tabs>
      <w:snapToGrid w:val="0"/>
      <w:jc w:val="left"/>
    </w:pPr>
    <w:rPr>
      <w:rFonts w:ascii="Times New Roman" w:eastAsia="宋体" w:hAnsi="Times New Roman" w:cs="Times New Roman"/>
      <w:sz w:val="18"/>
      <w:szCs w:val="18"/>
    </w:rPr>
  </w:style>
  <w:style w:type="character" w:customStyle="1" w:styleId="Char0">
    <w:name w:val="页脚 Char"/>
    <w:basedOn w:val="a4"/>
    <w:link w:val="a8"/>
    <w:uiPriority w:val="99"/>
    <w:rsid w:val="00715799"/>
    <w:rPr>
      <w:rFonts w:ascii="Times New Roman" w:eastAsia="宋体" w:hAnsi="Times New Roman" w:cs="Times New Roman"/>
      <w:sz w:val="18"/>
      <w:szCs w:val="18"/>
    </w:rPr>
  </w:style>
  <w:style w:type="table" w:styleId="a9">
    <w:name w:val="Table Grid"/>
    <w:basedOn w:val="a5"/>
    <w:uiPriority w:val="59"/>
    <w:rsid w:val="00715799"/>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page number"/>
    <w:basedOn w:val="a4"/>
    <w:rsid w:val="00715799"/>
  </w:style>
  <w:style w:type="paragraph" w:customStyle="1" w:styleId="ab">
    <w:name w:val="中山报告标题"/>
    <w:basedOn w:val="a3"/>
    <w:link w:val="CharChar"/>
    <w:qFormat/>
    <w:rsid w:val="00715799"/>
    <w:pPr>
      <w:ind w:leftChars="2000" w:left="4200"/>
    </w:pPr>
    <w:rPr>
      <w:rFonts w:ascii="Cambria" w:eastAsia="楷体_GB2312" w:hAnsi="Cambria" w:cs="Times New Roman"/>
      <w:b/>
      <w:color w:val="292929"/>
      <w:sz w:val="48"/>
      <w:szCs w:val="48"/>
    </w:rPr>
  </w:style>
  <w:style w:type="paragraph" w:customStyle="1" w:styleId="ac">
    <w:name w:val="中山报告副标题"/>
    <w:basedOn w:val="a3"/>
    <w:link w:val="CharChar0"/>
    <w:qFormat/>
    <w:rsid w:val="00715799"/>
    <w:pPr>
      <w:ind w:rightChars="150" w:right="315"/>
      <w:jc w:val="right"/>
    </w:pPr>
    <w:rPr>
      <w:rFonts w:ascii="Cambria" w:eastAsia="楷体_GB2312" w:hAnsi="Cambria" w:cs="Times New Roman"/>
      <w:b/>
      <w:color w:val="292929"/>
      <w:sz w:val="32"/>
      <w:szCs w:val="32"/>
    </w:rPr>
  </w:style>
  <w:style w:type="character" w:customStyle="1" w:styleId="CharChar">
    <w:name w:val="中山报告标题 Char Char"/>
    <w:link w:val="ab"/>
    <w:rsid w:val="00715799"/>
    <w:rPr>
      <w:rFonts w:ascii="Cambria" w:eastAsia="楷体_GB2312" w:hAnsi="Cambria" w:cs="Times New Roman"/>
      <w:b/>
      <w:color w:val="292929"/>
      <w:sz w:val="48"/>
      <w:szCs w:val="48"/>
    </w:rPr>
  </w:style>
  <w:style w:type="paragraph" w:customStyle="1" w:styleId="a2">
    <w:name w:val="中山摘要标题"/>
    <w:basedOn w:val="ad"/>
    <w:link w:val="CharChar1"/>
    <w:qFormat/>
    <w:rsid w:val="00715799"/>
    <w:pPr>
      <w:numPr>
        <w:numId w:val="1"/>
      </w:numPr>
      <w:tabs>
        <w:tab w:val="num" w:pos="360"/>
      </w:tabs>
      <w:ind w:left="0" w:firstLine="422"/>
    </w:pPr>
    <w:rPr>
      <w:rFonts w:ascii="Arial" w:eastAsia="楷体_GB2312" w:hAnsi="Arial" w:cs="Times New Roman"/>
      <w:b/>
    </w:rPr>
  </w:style>
  <w:style w:type="character" w:customStyle="1" w:styleId="CharChar0">
    <w:name w:val="中山报告副标题 Char Char"/>
    <w:link w:val="ac"/>
    <w:rsid w:val="00715799"/>
    <w:rPr>
      <w:rFonts w:ascii="Cambria" w:eastAsia="楷体_GB2312" w:hAnsi="Cambria" w:cs="Times New Roman"/>
      <w:b/>
      <w:color w:val="292929"/>
      <w:sz w:val="32"/>
      <w:szCs w:val="32"/>
    </w:rPr>
  </w:style>
  <w:style w:type="paragraph" w:styleId="ad">
    <w:name w:val="List Paragraph"/>
    <w:basedOn w:val="a3"/>
    <w:uiPriority w:val="34"/>
    <w:qFormat/>
    <w:rsid w:val="00715799"/>
    <w:pPr>
      <w:ind w:firstLineChars="200" w:firstLine="420"/>
    </w:pPr>
  </w:style>
  <w:style w:type="paragraph" w:styleId="ae">
    <w:name w:val="Balloon Text"/>
    <w:basedOn w:val="a3"/>
    <w:link w:val="Char1"/>
    <w:uiPriority w:val="99"/>
    <w:semiHidden/>
    <w:unhideWhenUsed/>
    <w:rsid w:val="00CB302A"/>
    <w:rPr>
      <w:sz w:val="18"/>
      <w:szCs w:val="18"/>
    </w:rPr>
  </w:style>
  <w:style w:type="character" w:customStyle="1" w:styleId="Char1">
    <w:name w:val="批注框文本 Char"/>
    <w:basedOn w:val="a4"/>
    <w:link w:val="ae"/>
    <w:uiPriority w:val="99"/>
    <w:semiHidden/>
    <w:rsid w:val="00CB302A"/>
    <w:rPr>
      <w:sz w:val="18"/>
      <w:szCs w:val="18"/>
    </w:rPr>
  </w:style>
  <w:style w:type="paragraph" w:styleId="1">
    <w:name w:val="toc 1"/>
    <w:basedOn w:val="a3"/>
    <w:next w:val="a3"/>
    <w:autoRedefine/>
    <w:uiPriority w:val="39"/>
    <w:unhideWhenUsed/>
    <w:rsid w:val="00F85C51"/>
  </w:style>
  <w:style w:type="paragraph" w:styleId="2">
    <w:name w:val="toc 2"/>
    <w:basedOn w:val="a3"/>
    <w:next w:val="a3"/>
    <w:autoRedefine/>
    <w:uiPriority w:val="39"/>
    <w:unhideWhenUsed/>
    <w:rsid w:val="006E4FDD"/>
    <w:pPr>
      <w:tabs>
        <w:tab w:val="right" w:leader="dot" w:pos="10763"/>
      </w:tabs>
      <w:spacing w:line="312" w:lineRule="auto"/>
      <w:ind w:leftChars="200" w:left="420"/>
    </w:pPr>
  </w:style>
  <w:style w:type="paragraph" w:styleId="3">
    <w:name w:val="toc 3"/>
    <w:basedOn w:val="a3"/>
    <w:next w:val="a3"/>
    <w:autoRedefine/>
    <w:uiPriority w:val="39"/>
    <w:unhideWhenUsed/>
    <w:rsid w:val="00F85C51"/>
    <w:pPr>
      <w:ind w:leftChars="400" w:left="840"/>
    </w:pPr>
  </w:style>
  <w:style w:type="character" w:styleId="af">
    <w:name w:val="Hyperlink"/>
    <w:basedOn w:val="a4"/>
    <w:uiPriority w:val="99"/>
    <w:unhideWhenUsed/>
    <w:rsid w:val="00F85C51"/>
    <w:rPr>
      <w:color w:val="0000FF" w:themeColor="hyperlink"/>
      <w:u w:val="single"/>
    </w:rPr>
  </w:style>
  <w:style w:type="character" w:customStyle="1" w:styleId="Char2">
    <w:name w:val="中山图表标题 Char"/>
    <w:link w:val="af0"/>
    <w:qFormat/>
    <w:rsid w:val="002954E6"/>
    <w:rPr>
      <w:rFonts w:ascii="Arial" w:eastAsia="楷体_GB2312" w:hAnsi="Arial" w:cs="Arial"/>
    </w:rPr>
  </w:style>
  <w:style w:type="character" w:customStyle="1" w:styleId="Char3">
    <w:name w:val="中山图表来源 Char"/>
    <w:link w:val="af1"/>
    <w:qFormat/>
    <w:rsid w:val="002954E6"/>
    <w:rPr>
      <w:rFonts w:ascii="Arial" w:eastAsia="楷体_GB2312" w:hAnsi="Arial" w:cs="Arial"/>
      <w:sz w:val="18"/>
      <w:szCs w:val="18"/>
    </w:rPr>
  </w:style>
  <w:style w:type="paragraph" w:customStyle="1" w:styleId="af0">
    <w:name w:val="中山图表标题"/>
    <w:basedOn w:val="a3"/>
    <w:link w:val="Char2"/>
    <w:qFormat/>
    <w:rsid w:val="002954E6"/>
    <w:pPr>
      <w:keepNext/>
      <w:keepLines/>
      <w:widowControl/>
    </w:pPr>
    <w:rPr>
      <w:rFonts w:ascii="Arial" w:eastAsia="楷体_GB2312" w:hAnsi="Arial" w:cs="Arial"/>
    </w:rPr>
  </w:style>
  <w:style w:type="paragraph" w:customStyle="1" w:styleId="af1">
    <w:name w:val="中山图表来源"/>
    <w:basedOn w:val="a3"/>
    <w:link w:val="Char3"/>
    <w:qFormat/>
    <w:rsid w:val="002954E6"/>
    <w:pPr>
      <w:keepNext/>
      <w:keepLines/>
      <w:widowControl/>
    </w:pPr>
    <w:rPr>
      <w:rFonts w:ascii="Arial" w:eastAsia="楷体_GB2312" w:hAnsi="Arial" w:cs="Arial"/>
      <w:sz w:val="18"/>
      <w:szCs w:val="18"/>
    </w:rPr>
  </w:style>
  <w:style w:type="character" w:customStyle="1" w:styleId="Char4">
    <w:name w:val="中山正文 Char"/>
    <w:link w:val="af2"/>
    <w:rsid w:val="00930924"/>
    <w:rPr>
      <w:rFonts w:ascii="Arial" w:eastAsia="楷体_GB2312" w:hAnsi="Arial"/>
    </w:rPr>
  </w:style>
  <w:style w:type="paragraph" w:customStyle="1" w:styleId="af2">
    <w:name w:val="中山正文"/>
    <w:basedOn w:val="a3"/>
    <w:link w:val="Char4"/>
    <w:qFormat/>
    <w:rsid w:val="00930924"/>
    <w:pPr>
      <w:widowControl/>
      <w:spacing w:afterLines="50"/>
      <w:ind w:leftChars="1200" w:left="1200" w:firstLineChars="200" w:firstLine="200"/>
    </w:pPr>
    <w:rPr>
      <w:rFonts w:ascii="Arial" w:eastAsia="楷体_GB2312" w:hAnsi="Arial"/>
    </w:rPr>
  </w:style>
  <w:style w:type="paragraph" w:customStyle="1" w:styleId="a">
    <w:name w:val="中山一级标题"/>
    <w:basedOn w:val="a3"/>
    <w:qFormat/>
    <w:rsid w:val="003F248D"/>
    <w:pPr>
      <w:widowControl/>
      <w:numPr>
        <w:numId w:val="3"/>
      </w:numPr>
      <w:tabs>
        <w:tab w:val="left" w:pos="360"/>
      </w:tabs>
      <w:spacing w:beforeLines="50" w:afterLines="50" w:line="360" w:lineRule="auto"/>
      <w:ind w:firstLine="0"/>
      <w:outlineLvl w:val="0"/>
    </w:pPr>
    <w:rPr>
      <w:rFonts w:ascii="Arial" w:eastAsia="楷体_GB2312" w:hAnsi="Arial" w:cs="Times New Roman"/>
      <w:b/>
      <w:sz w:val="30"/>
    </w:rPr>
  </w:style>
  <w:style w:type="paragraph" w:customStyle="1" w:styleId="a0">
    <w:name w:val="中山二级标题"/>
    <w:basedOn w:val="a3"/>
    <w:link w:val="CharChar2"/>
    <w:qFormat/>
    <w:rsid w:val="003F248D"/>
    <w:pPr>
      <w:widowControl/>
      <w:numPr>
        <w:ilvl w:val="1"/>
        <w:numId w:val="3"/>
      </w:numPr>
      <w:tabs>
        <w:tab w:val="left" w:pos="360"/>
      </w:tabs>
      <w:spacing w:beforeLines="50" w:afterLines="50" w:line="360" w:lineRule="auto"/>
      <w:outlineLvl w:val="1"/>
    </w:pPr>
    <w:rPr>
      <w:rFonts w:ascii="Arial" w:eastAsia="楷体_GB2312" w:hAnsi="Arial" w:cs="Times New Roman"/>
      <w:b/>
      <w:sz w:val="28"/>
    </w:rPr>
  </w:style>
  <w:style w:type="paragraph" w:customStyle="1" w:styleId="a1">
    <w:name w:val="中山三级标题"/>
    <w:basedOn w:val="a3"/>
    <w:qFormat/>
    <w:rsid w:val="003F248D"/>
    <w:pPr>
      <w:widowControl/>
      <w:numPr>
        <w:ilvl w:val="2"/>
        <w:numId w:val="3"/>
      </w:numPr>
      <w:tabs>
        <w:tab w:val="left" w:pos="360"/>
      </w:tabs>
      <w:spacing w:beforeLines="50" w:afterLines="50" w:line="360" w:lineRule="auto"/>
      <w:outlineLvl w:val="2"/>
    </w:pPr>
    <w:rPr>
      <w:rFonts w:ascii="Arial" w:eastAsia="楷体_GB2312" w:hAnsi="Arial" w:cs="Times New Roman"/>
      <w:b/>
      <w:sz w:val="24"/>
    </w:rPr>
  </w:style>
  <w:style w:type="character" w:customStyle="1" w:styleId="CharChar2">
    <w:name w:val="中山二级标题 Char Char"/>
    <w:link w:val="a0"/>
    <w:qFormat/>
    <w:rsid w:val="003F248D"/>
    <w:rPr>
      <w:rFonts w:ascii="Arial" w:eastAsia="楷体_GB2312" w:hAnsi="Arial" w:cs="Times New Roman"/>
      <w:b/>
      <w:sz w:val="28"/>
    </w:rPr>
  </w:style>
  <w:style w:type="character" w:customStyle="1" w:styleId="CharChar3">
    <w:name w:val="中山正文 Char Char"/>
    <w:qFormat/>
    <w:rsid w:val="003F248D"/>
    <w:rPr>
      <w:rFonts w:ascii="Arial" w:eastAsia="楷体_GB2312" w:hAnsi="Arial"/>
      <w:kern w:val="2"/>
      <w:sz w:val="21"/>
      <w:szCs w:val="22"/>
    </w:rPr>
  </w:style>
  <w:style w:type="paragraph" w:styleId="af3">
    <w:name w:val="caption"/>
    <w:basedOn w:val="a3"/>
    <w:next w:val="a3"/>
    <w:unhideWhenUsed/>
    <w:qFormat/>
    <w:rsid w:val="00196122"/>
    <w:rPr>
      <w:rFonts w:asciiTheme="majorHAnsi" w:eastAsia="黑体" w:hAnsiTheme="majorHAnsi" w:cstheme="majorBidi"/>
      <w:sz w:val="20"/>
      <w:szCs w:val="20"/>
    </w:rPr>
  </w:style>
  <w:style w:type="paragraph" w:styleId="af4">
    <w:name w:val="Document Map"/>
    <w:basedOn w:val="a3"/>
    <w:link w:val="Char5"/>
    <w:uiPriority w:val="99"/>
    <w:semiHidden/>
    <w:unhideWhenUsed/>
    <w:rsid w:val="008B1F58"/>
    <w:rPr>
      <w:rFonts w:ascii="宋体" w:eastAsia="宋体"/>
      <w:sz w:val="18"/>
      <w:szCs w:val="18"/>
    </w:rPr>
  </w:style>
  <w:style w:type="character" w:customStyle="1" w:styleId="Char5">
    <w:name w:val="文档结构图 Char"/>
    <w:basedOn w:val="a4"/>
    <w:link w:val="af4"/>
    <w:uiPriority w:val="99"/>
    <w:semiHidden/>
    <w:rsid w:val="008B1F58"/>
    <w:rPr>
      <w:rFonts w:ascii="宋体" w:eastAsia="宋体"/>
      <w:sz w:val="18"/>
      <w:szCs w:val="18"/>
    </w:rPr>
  </w:style>
  <w:style w:type="paragraph" w:styleId="af5">
    <w:name w:val="table of figures"/>
    <w:basedOn w:val="a3"/>
    <w:next w:val="a3"/>
    <w:uiPriority w:val="99"/>
    <w:unhideWhenUsed/>
    <w:rsid w:val="004B25F2"/>
    <w:pPr>
      <w:ind w:leftChars="200" w:left="200" w:hangingChars="200" w:hanging="200"/>
    </w:pPr>
    <w:rPr>
      <w:rFonts w:ascii="Calibri" w:eastAsia="楷体_GB2312" w:hAnsi="Calibri" w:cs="Times New Roman"/>
    </w:rPr>
  </w:style>
  <w:style w:type="character" w:customStyle="1" w:styleId="CharChar1">
    <w:name w:val="中山摘要标题 Char Char"/>
    <w:link w:val="a2"/>
    <w:qFormat/>
    <w:rsid w:val="00C16BC7"/>
    <w:rPr>
      <w:rFonts w:ascii="Arial" w:eastAsia="楷体_GB2312" w:hAnsi="Arial" w:cs="Times New Roman"/>
      <w:b/>
    </w:rPr>
  </w:style>
</w:styles>
</file>

<file path=word/webSettings.xml><?xml version="1.0" encoding="utf-8"?>
<w:webSettings xmlns:r="http://schemas.openxmlformats.org/officeDocument/2006/relationships" xmlns:w="http://schemas.openxmlformats.org/wordprocessingml/2006/main">
  <w:divs>
    <w:div w:id="584727334">
      <w:bodyDiv w:val="1"/>
      <w:marLeft w:val="0"/>
      <w:marRight w:val="0"/>
      <w:marTop w:val="0"/>
      <w:marBottom w:val="0"/>
      <w:divBdr>
        <w:top w:val="none" w:sz="0" w:space="0" w:color="auto"/>
        <w:left w:val="none" w:sz="0" w:space="0" w:color="auto"/>
        <w:bottom w:val="none" w:sz="0" w:space="0" w:color="auto"/>
        <w:right w:val="none" w:sz="0" w:space="0" w:color="auto"/>
      </w:divBdr>
    </w:div>
    <w:div w:id="1739326120">
      <w:bodyDiv w:val="1"/>
      <w:marLeft w:val="0"/>
      <w:marRight w:val="0"/>
      <w:marTop w:val="0"/>
      <w:marBottom w:val="0"/>
      <w:divBdr>
        <w:top w:val="none" w:sz="0" w:space="0" w:color="auto"/>
        <w:left w:val="none" w:sz="0" w:space="0" w:color="auto"/>
        <w:bottom w:val="none" w:sz="0" w:space="0" w:color="auto"/>
        <w:right w:val="none" w:sz="0" w:space="0" w:color="auto"/>
      </w:divBdr>
    </w:div>
    <w:div w:id="19651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chart" Target="charts/chart5.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chart" Target="charts/chart4.xml"/><Relationship Id="rId36" Type="http://schemas.openxmlformats.org/officeDocument/2006/relationships/image" Target="media/image16.png"/><Relationship Id="rId10" Type="http://schemas.openxmlformats.org/officeDocument/2006/relationships/hyperlink" Target="mailto:zhangxuejie@zszq.com" TargetMode="External"/><Relationship Id="rId19" Type="http://schemas.openxmlformats.org/officeDocument/2006/relationships/image" Target="media/image6.png"/><Relationship Id="rId31" Type="http://schemas.openxmlformats.org/officeDocument/2006/relationships/chart" Target="charts/chart7.xml"/><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5.png"/><Relationship Id="rId43"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ngss\Desktop\2019&#23637;&#26395;\1-&#24066;&#22330;&#36164;&#37329;&#27969;&#21521;_&#27818;&#28145;&#20004;&#2406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ngss\Desktop\2019&#23637;&#26395;\1-&#24066;&#22330;&#36164;&#37329;&#27969;&#21521;_&#27818;&#28145;&#20004;&#2406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ngss\Desktop\2019&#23637;&#26395;\2-&#24066;&#22330;&#36164;&#37329;&#27969;&#21521;_&#26495;&#22359;&#37197;&#326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ngss\Desktop\2019&#23637;&#26395;\4-&#25104;&#20132;&#32479;&#35745;(&#25353;&#20132;&#26131;&#26041;&#21521;)_&#21271;&#215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ngss\Desktop\2019&#23637;&#26395;\4-&#25104;&#20132;&#32479;&#35745;(&#25353;&#20132;&#26131;&#26041;&#21521;)_&#21271;&#215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zszq\Documents\WeChat%20Files\Jacky20138-YANG\Files\&#27818;&#32929;&#36890;&#25345;&#3292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zszq\Desktop\2018&#24180;&#23637;&#26395;&#65306;&#20511;&#21476;&#26512;&#20170;\&#28145;&#32929;&#36890;&#36890;&#25345;&#3292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73601440789692"/>
          <c:y val="0.13709807961150761"/>
          <c:w val="0.74855908330009979"/>
          <c:h val="0.59295088327168377"/>
        </c:manualLayout>
      </c:layout>
      <c:barChart>
        <c:barDir val="col"/>
        <c:grouping val="stacked"/>
        <c:ser>
          <c:idx val="0"/>
          <c:order val="0"/>
          <c:tx>
            <c:strRef>
              <c:f>万得!$D$1</c:f>
              <c:strCache>
                <c:ptCount val="1"/>
                <c:pt idx="0">
                  <c:v>主力净流入额(亿元)</c:v>
                </c:pt>
              </c:strCache>
            </c:strRef>
          </c:tx>
          <c:spPr>
            <a:solidFill>
              <a:srgbClr val="C00000"/>
            </a:solidFill>
          </c:spPr>
          <c:cat>
            <c:strRef>
              <c:f>万得!$A$2:$A$52</c:f>
              <c:strCache>
                <c:ptCount val="51"/>
                <c:pt idx="0">
                  <c:v>2018-1-5</c:v>
                </c:pt>
                <c:pt idx="1">
                  <c:v>2018-1-12</c:v>
                </c:pt>
                <c:pt idx="2">
                  <c:v>2018-1-19</c:v>
                </c:pt>
                <c:pt idx="3">
                  <c:v>2018-1-26</c:v>
                </c:pt>
                <c:pt idx="4">
                  <c:v>2018-2-2</c:v>
                </c:pt>
                <c:pt idx="5">
                  <c:v>2018-2-9</c:v>
                </c:pt>
                <c:pt idx="6">
                  <c:v>2018-2-16</c:v>
                </c:pt>
                <c:pt idx="7">
                  <c:v>2018-2-23</c:v>
                </c:pt>
                <c:pt idx="8">
                  <c:v>2018-3-2</c:v>
                </c:pt>
                <c:pt idx="9">
                  <c:v>2018-3-9</c:v>
                </c:pt>
                <c:pt idx="10">
                  <c:v>2018-3-16</c:v>
                </c:pt>
                <c:pt idx="11">
                  <c:v>2018-3-23</c:v>
                </c:pt>
                <c:pt idx="12">
                  <c:v>2018-3-30</c:v>
                </c:pt>
                <c:pt idx="13">
                  <c:v>2018-4-6</c:v>
                </c:pt>
                <c:pt idx="14">
                  <c:v>2018-4-13</c:v>
                </c:pt>
                <c:pt idx="15">
                  <c:v>2018-4-20</c:v>
                </c:pt>
                <c:pt idx="16">
                  <c:v>2018-4-27</c:v>
                </c:pt>
                <c:pt idx="17">
                  <c:v>2018-5-4</c:v>
                </c:pt>
                <c:pt idx="18">
                  <c:v>2018-5-11</c:v>
                </c:pt>
                <c:pt idx="19">
                  <c:v>2018-5-18</c:v>
                </c:pt>
                <c:pt idx="20">
                  <c:v>2018-5-25</c:v>
                </c:pt>
                <c:pt idx="21">
                  <c:v>2018-6-1</c:v>
                </c:pt>
                <c:pt idx="22">
                  <c:v>2018-6-8</c:v>
                </c:pt>
                <c:pt idx="23">
                  <c:v>2018-6-15</c:v>
                </c:pt>
                <c:pt idx="24">
                  <c:v>2018-6-22</c:v>
                </c:pt>
                <c:pt idx="25">
                  <c:v>2018-6-29</c:v>
                </c:pt>
                <c:pt idx="26">
                  <c:v>2018-7-6</c:v>
                </c:pt>
                <c:pt idx="27">
                  <c:v>2018-7-13</c:v>
                </c:pt>
                <c:pt idx="28">
                  <c:v>2018-7-20</c:v>
                </c:pt>
                <c:pt idx="29">
                  <c:v>2018-7-27</c:v>
                </c:pt>
                <c:pt idx="30">
                  <c:v>2018-8-3</c:v>
                </c:pt>
                <c:pt idx="31">
                  <c:v>2018-8-10</c:v>
                </c:pt>
                <c:pt idx="32">
                  <c:v>2018-8-17</c:v>
                </c:pt>
                <c:pt idx="33">
                  <c:v>2018-8-24</c:v>
                </c:pt>
                <c:pt idx="34">
                  <c:v>2018-8-31</c:v>
                </c:pt>
                <c:pt idx="35">
                  <c:v>2018-9-7</c:v>
                </c:pt>
                <c:pt idx="36">
                  <c:v>2018-9-14</c:v>
                </c:pt>
                <c:pt idx="37">
                  <c:v>2018-9-21</c:v>
                </c:pt>
                <c:pt idx="38">
                  <c:v>2018-9-28</c:v>
                </c:pt>
                <c:pt idx="39">
                  <c:v>2018-10-12</c:v>
                </c:pt>
                <c:pt idx="40">
                  <c:v>2018-10-19</c:v>
                </c:pt>
                <c:pt idx="41">
                  <c:v>2018-10-26</c:v>
                </c:pt>
                <c:pt idx="42">
                  <c:v>2018-11-2</c:v>
                </c:pt>
                <c:pt idx="43">
                  <c:v>2018-11-9</c:v>
                </c:pt>
                <c:pt idx="44">
                  <c:v>2018-11-16</c:v>
                </c:pt>
                <c:pt idx="45">
                  <c:v>2018-11-23</c:v>
                </c:pt>
                <c:pt idx="46">
                  <c:v>2018-11-30</c:v>
                </c:pt>
                <c:pt idx="47">
                  <c:v>2018-12-07</c:v>
                </c:pt>
                <c:pt idx="48">
                  <c:v>2018-12-14</c:v>
                </c:pt>
                <c:pt idx="49">
                  <c:v>2018-12-21</c:v>
                </c:pt>
                <c:pt idx="50">
                  <c:v>2018-12-28</c:v>
                </c:pt>
              </c:strCache>
            </c:strRef>
          </c:cat>
          <c:val>
            <c:numRef>
              <c:f>万得!$D$2:$D$52</c:f>
              <c:numCache>
                <c:formatCode>0.00_ ;[Red]\-0.00\ </c:formatCode>
                <c:ptCount val="51"/>
                <c:pt idx="0">
                  <c:v>-132.95695563999979</c:v>
                </c:pt>
                <c:pt idx="1">
                  <c:v>-723.337719550001</c:v>
                </c:pt>
                <c:pt idx="2">
                  <c:v>-1108.077797330003</c:v>
                </c:pt>
                <c:pt idx="3">
                  <c:v>-739.00806718999957</c:v>
                </c:pt>
                <c:pt idx="4">
                  <c:v>-1426.0177798199968</c:v>
                </c:pt>
                <c:pt idx="5">
                  <c:v>-1106.4193016700012</c:v>
                </c:pt>
                <c:pt idx="6">
                  <c:v>23.475149110000064</c:v>
                </c:pt>
                <c:pt idx="7">
                  <c:v>-1.1976059400000261</c:v>
                </c:pt>
                <c:pt idx="8">
                  <c:v>-551.63542885999857</c:v>
                </c:pt>
                <c:pt idx="9">
                  <c:v>-401.80017566999925</c:v>
                </c:pt>
                <c:pt idx="10">
                  <c:v>-985.91753260999269</c:v>
                </c:pt>
                <c:pt idx="11">
                  <c:v>-1088.7404769899999</c:v>
                </c:pt>
                <c:pt idx="12">
                  <c:v>-359.79925858000075</c:v>
                </c:pt>
                <c:pt idx="13">
                  <c:v>-564.29325688000051</c:v>
                </c:pt>
                <c:pt idx="14">
                  <c:v>-778.40248581000048</c:v>
                </c:pt>
                <c:pt idx="15">
                  <c:v>-1091.2832508699944</c:v>
                </c:pt>
                <c:pt idx="16">
                  <c:v>-872.75173987999801</c:v>
                </c:pt>
                <c:pt idx="17">
                  <c:v>-299.62331441999919</c:v>
                </c:pt>
                <c:pt idx="18">
                  <c:v>-386.91084755000162</c:v>
                </c:pt>
                <c:pt idx="19">
                  <c:v>-660.33090761000017</c:v>
                </c:pt>
                <c:pt idx="20">
                  <c:v>-1064.6632770300066</c:v>
                </c:pt>
                <c:pt idx="21">
                  <c:v>-891.91583975999913</c:v>
                </c:pt>
                <c:pt idx="22">
                  <c:v>-527.53477310999983</c:v>
                </c:pt>
                <c:pt idx="23">
                  <c:v>-625.63268646999848</c:v>
                </c:pt>
                <c:pt idx="24">
                  <c:v>-550.8581356500016</c:v>
                </c:pt>
                <c:pt idx="25">
                  <c:v>-499.44248832000096</c:v>
                </c:pt>
                <c:pt idx="26">
                  <c:v>-822.5289492299994</c:v>
                </c:pt>
                <c:pt idx="27">
                  <c:v>-235.07063543000061</c:v>
                </c:pt>
                <c:pt idx="28">
                  <c:v>-585.27722718000018</c:v>
                </c:pt>
                <c:pt idx="29">
                  <c:v>-465.8773983699989</c:v>
                </c:pt>
                <c:pt idx="30">
                  <c:v>-978.30003305999753</c:v>
                </c:pt>
                <c:pt idx="31">
                  <c:v>-178.04540751000241</c:v>
                </c:pt>
                <c:pt idx="32">
                  <c:v>-731.78748639999935</c:v>
                </c:pt>
                <c:pt idx="33">
                  <c:v>-168.31937346999919</c:v>
                </c:pt>
                <c:pt idx="34">
                  <c:v>-437.71727703000158</c:v>
                </c:pt>
                <c:pt idx="35">
                  <c:v>-400.33610253999939</c:v>
                </c:pt>
                <c:pt idx="36">
                  <c:v>-537.90181767999945</c:v>
                </c:pt>
                <c:pt idx="37">
                  <c:v>164.90235807999863</c:v>
                </c:pt>
                <c:pt idx="38">
                  <c:v>-332.06338354999843</c:v>
                </c:pt>
                <c:pt idx="39">
                  <c:v>-994.32001831999276</c:v>
                </c:pt>
                <c:pt idx="40">
                  <c:v>-511.37847352000057</c:v>
                </c:pt>
                <c:pt idx="41">
                  <c:v>-452.69095308999954</c:v>
                </c:pt>
                <c:pt idx="42">
                  <c:v>213.80987822000012</c:v>
                </c:pt>
                <c:pt idx="43">
                  <c:v>-832.99493111000061</c:v>
                </c:pt>
                <c:pt idx="44">
                  <c:v>-105.39804526999984</c:v>
                </c:pt>
                <c:pt idx="45" formatCode="#,##0.00">
                  <c:v>-1128.0966364800061</c:v>
                </c:pt>
                <c:pt idx="46" formatCode="#,##0.00">
                  <c:v>-453.77113909000116</c:v>
                </c:pt>
                <c:pt idx="47" formatCode="#,##0.00">
                  <c:v>-431.78160843999871</c:v>
                </c:pt>
                <c:pt idx="48" formatCode="#,##0.00">
                  <c:v>-476.49658235000078</c:v>
                </c:pt>
                <c:pt idx="49" formatCode="#,##0.00">
                  <c:v>-675.23812521000332</c:v>
                </c:pt>
                <c:pt idx="50" formatCode="#,##0.00">
                  <c:v>-408.14265118000094</c:v>
                </c:pt>
              </c:numCache>
            </c:numRef>
          </c:val>
          <c:extLst xmlns:c16r2="http://schemas.microsoft.com/office/drawing/2015/06/chart">
            <c:ext xmlns:c16="http://schemas.microsoft.com/office/drawing/2014/chart" uri="{C3380CC4-5D6E-409C-BE32-E72D297353CC}">
              <c16:uniqueId val="{00000000-4C1A-4646-BB68-C88F67B6302F}"/>
            </c:ext>
          </c:extLst>
        </c:ser>
        <c:gapWidth val="135"/>
        <c:overlap val="100"/>
        <c:axId val="350248960"/>
        <c:axId val="350252416"/>
      </c:barChart>
      <c:lineChart>
        <c:grouping val="standard"/>
        <c:ser>
          <c:idx val="1"/>
          <c:order val="1"/>
          <c:tx>
            <c:strRef>
              <c:f>万得!$K$1</c:f>
              <c:strCache>
                <c:ptCount val="1"/>
                <c:pt idx="0">
                  <c:v>总流入额(亿元)（右）</c:v>
                </c:pt>
              </c:strCache>
            </c:strRef>
          </c:tx>
          <c:spPr>
            <a:ln>
              <a:solidFill>
                <a:schemeClr val="bg1">
                  <a:lumMod val="50000"/>
                </a:schemeClr>
              </a:solidFill>
            </a:ln>
          </c:spPr>
          <c:marker>
            <c:symbol val="none"/>
          </c:marker>
          <c:cat>
            <c:strRef>
              <c:f>万得!$A$2:$A$52</c:f>
              <c:strCache>
                <c:ptCount val="51"/>
                <c:pt idx="0">
                  <c:v>2018-1-5</c:v>
                </c:pt>
                <c:pt idx="1">
                  <c:v>2018-1-12</c:v>
                </c:pt>
                <c:pt idx="2">
                  <c:v>2018-1-19</c:v>
                </c:pt>
                <c:pt idx="3">
                  <c:v>2018-1-26</c:v>
                </c:pt>
                <c:pt idx="4">
                  <c:v>2018-2-2</c:v>
                </c:pt>
                <c:pt idx="5">
                  <c:v>2018-2-9</c:v>
                </c:pt>
                <c:pt idx="6">
                  <c:v>2018-2-16</c:v>
                </c:pt>
                <c:pt idx="7">
                  <c:v>2018-2-23</c:v>
                </c:pt>
                <c:pt idx="8">
                  <c:v>2018-3-2</c:v>
                </c:pt>
                <c:pt idx="9">
                  <c:v>2018-3-9</c:v>
                </c:pt>
                <c:pt idx="10">
                  <c:v>2018-3-16</c:v>
                </c:pt>
                <c:pt idx="11">
                  <c:v>2018-3-23</c:v>
                </c:pt>
                <c:pt idx="12">
                  <c:v>2018-3-30</c:v>
                </c:pt>
                <c:pt idx="13">
                  <c:v>2018-4-6</c:v>
                </c:pt>
                <c:pt idx="14">
                  <c:v>2018-4-13</c:v>
                </c:pt>
                <c:pt idx="15">
                  <c:v>2018-4-20</c:v>
                </c:pt>
                <c:pt idx="16">
                  <c:v>2018-4-27</c:v>
                </c:pt>
                <c:pt idx="17">
                  <c:v>2018-5-4</c:v>
                </c:pt>
                <c:pt idx="18">
                  <c:v>2018-5-11</c:v>
                </c:pt>
                <c:pt idx="19">
                  <c:v>2018-5-18</c:v>
                </c:pt>
                <c:pt idx="20">
                  <c:v>2018-5-25</c:v>
                </c:pt>
                <c:pt idx="21">
                  <c:v>2018-6-1</c:v>
                </c:pt>
                <c:pt idx="22">
                  <c:v>2018-6-8</c:v>
                </c:pt>
                <c:pt idx="23">
                  <c:v>2018-6-15</c:v>
                </c:pt>
                <c:pt idx="24">
                  <c:v>2018-6-22</c:v>
                </c:pt>
                <c:pt idx="25">
                  <c:v>2018-6-29</c:v>
                </c:pt>
                <c:pt idx="26">
                  <c:v>2018-7-6</c:v>
                </c:pt>
                <c:pt idx="27">
                  <c:v>2018-7-13</c:v>
                </c:pt>
                <c:pt idx="28">
                  <c:v>2018-7-20</c:v>
                </c:pt>
                <c:pt idx="29">
                  <c:v>2018-7-27</c:v>
                </c:pt>
                <c:pt idx="30">
                  <c:v>2018-8-3</c:v>
                </c:pt>
                <c:pt idx="31">
                  <c:v>2018-8-10</c:v>
                </c:pt>
                <c:pt idx="32">
                  <c:v>2018-8-17</c:v>
                </c:pt>
                <c:pt idx="33">
                  <c:v>2018-8-24</c:v>
                </c:pt>
                <c:pt idx="34">
                  <c:v>2018-8-31</c:v>
                </c:pt>
                <c:pt idx="35">
                  <c:v>2018-9-7</c:v>
                </c:pt>
                <c:pt idx="36">
                  <c:v>2018-9-14</c:v>
                </c:pt>
                <c:pt idx="37">
                  <c:v>2018-9-21</c:v>
                </c:pt>
                <c:pt idx="38">
                  <c:v>2018-9-28</c:v>
                </c:pt>
                <c:pt idx="39">
                  <c:v>2018-10-12</c:v>
                </c:pt>
                <c:pt idx="40">
                  <c:v>2018-10-19</c:v>
                </c:pt>
                <c:pt idx="41">
                  <c:v>2018-10-26</c:v>
                </c:pt>
                <c:pt idx="42">
                  <c:v>2018-11-2</c:v>
                </c:pt>
                <c:pt idx="43">
                  <c:v>2018-11-9</c:v>
                </c:pt>
                <c:pt idx="44">
                  <c:v>2018-11-16</c:v>
                </c:pt>
                <c:pt idx="45">
                  <c:v>2018-11-23</c:v>
                </c:pt>
                <c:pt idx="46">
                  <c:v>2018-11-30</c:v>
                </c:pt>
                <c:pt idx="47">
                  <c:v>2018-12-07</c:v>
                </c:pt>
                <c:pt idx="48">
                  <c:v>2018-12-14</c:v>
                </c:pt>
                <c:pt idx="49">
                  <c:v>2018-12-21</c:v>
                </c:pt>
                <c:pt idx="50">
                  <c:v>2018-12-28</c:v>
                </c:pt>
              </c:strCache>
            </c:strRef>
          </c:cat>
          <c:val>
            <c:numRef>
              <c:f>万得!$K$2:$K$52</c:f>
              <c:numCache>
                <c:formatCode>0.00_ </c:formatCode>
                <c:ptCount val="51"/>
                <c:pt idx="0">
                  <c:v>4.4477494500003765</c:v>
                </c:pt>
                <c:pt idx="1">
                  <c:v>18.627855520003457</c:v>
                </c:pt>
                <c:pt idx="2">
                  <c:v>30.978308920002419</c:v>
                </c:pt>
                <c:pt idx="3">
                  <c:v>18.405283779994864</c:v>
                </c:pt>
                <c:pt idx="4">
                  <c:v>40.672853460000859</c:v>
                </c:pt>
                <c:pt idx="5">
                  <c:v>47.246982300005612</c:v>
                </c:pt>
                <c:pt idx="6">
                  <c:v>1.6492379399996091</c:v>
                </c:pt>
                <c:pt idx="7">
                  <c:v>-4.0031508700000087</c:v>
                </c:pt>
                <c:pt idx="8">
                  <c:v>3.8242280699970479</c:v>
                </c:pt>
                <c:pt idx="9">
                  <c:v>4.6419654499987901</c:v>
                </c:pt>
                <c:pt idx="10">
                  <c:v>24.001583530001643</c:v>
                </c:pt>
                <c:pt idx="11">
                  <c:v>29.297547629998917</c:v>
                </c:pt>
                <c:pt idx="12">
                  <c:v>4.8209394700004919</c:v>
                </c:pt>
                <c:pt idx="13">
                  <c:v>16.332317649997663</c:v>
                </c:pt>
                <c:pt idx="14">
                  <c:v>17.604496780002137</c:v>
                </c:pt>
                <c:pt idx="15">
                  <c:v>32.856479819998604</c:v>
                </c:pt>
                <c:pt idx="16">
                  <c:v>17.853546170005416</c:v>
                </c:pt>
                <c:pt idx="17">
                  <c:v>4.9538873399970926</c:v>
                </c:pt>
                <c:pt idx="18">
                  <c:v>3.6163491699977595</c:v>
                </c:pt>
                <c:pt idx="19">
                  <c:v>8.9336449100020516</c:v>
                </c:pt>
                <c:pt idx="20">
                  <c:v>22.281655610002428</c:v>
                </c:pt>
                <c:pt idx="21">
                  <c:v>29.877149670004652</c:v>
                </c:pt>
                <c:pt idx="22">
                  <c:v>13.18603028999985</c:v>
                </c:pt>
                <c:pt idx="23">
                  <c:v>20.900279370001364</c:v>
                </c:pt>
                <c:pt idx="24">
                  <c:v>16.171272539995584</c:v>
                </c:pt>
                <c:pt idx="25">
                  <c:v>12.267897109999014</c:v>
                </c:pt>
                <c:pt idx="26">
                  <c:v>19.983345280002482</c:v>
                </c:pt>
                <c:pt idx="27">
                  <c:v>-3.9313651699981147</c:v>
                </c:pt>
                <c:pt idx="28">
                  <c:v>10.810569270004867</c:v>
                </c:pt>
                <c:pt idx="29">
                  <c:v>10.51555663000296</c:v>
                </c:pt>
                <c:pt idx="30">
                  <c:v>32.549028909998697</c:v>
                </c:pt>
                <c:pt idx="31">
                  <c:v>6.2138097299976502</c:v>
                </c:pt>
                <c:pt idx="32">
                  <c:v>22.560021279998971</c:v>
                </c:pt>
                <c:pt idx="33">
                  <c:v>2.5019004100010989</c:v>
                </c:pt>
                <c:pt idx="34">
                  <c:v>12.177763150000658</c:v>
                </c:pt>
                <c:pt idx="35">
                  <c:v>13.595498140002297</c:v>
                </c:pt>
                <c:pt idx="36">
                  <c:v>17.521646039996298</c:v>
                </c:pt>
                <c:pt idx="37">
                  <c:v>-5.4085508199993271</c:v>
                </c:pt>
                <c:pt idx="38">
                  <c:v>6.4564856499983971</c:v>
                </c:pt>
                <c:pt idx="39">
                  <c:v>27.131725859991892</c:v>
                </c:pt>
                <c:pt idx="40">
                  <c:v>16.248001730000052</c:v>
                </c:pt>
                <c:pt idx="41">
                  <c:v>6.549284259996452</c:v>
                </c:pt>
                <c:pt idx="42">
                  <c:v>3.9205526299983187</c:v>
                </c:pt>
                <c:pt idx="43">
                  <c:v>21.759998140002278</c:v>
                </c:pt>
                <c:pt idx="44">
                  <c:v>-6.6991851799987181</c:v>
                </c:pt>
                <c:pt idx="45">
                  <c:v>25.34144890999163</c:v>
                </c:pt>
                <c:pt idx="46">
                  <c:v>9.8141233099991609</c:v>
                </c:pt>
                <c:pt idx="47">
                  <c:v>7.6493562100018284</c:v>
                </c:pt>
                <c:pt idx="48">
                  <c:v>14.601463299998844</c:v>
                </c:pt>
                <c:pt idx="49">
                  <c:v>11.382291790004842</c:v>
                </c:pt>
                <c:pt idx="50">
                  <c:v>9.6708957199977021</c:v>
                </c:pt>
              </c:numCache>
            </c:numRef>
          </c:val>
          <c:extLst xmlns:c16r2="http://schemas.microsoft.com/office/drawing/2015/06/chart">
            <c:ext xmlns:c16="http://schemas.microsoft.com/office/drawing/2014/chart" uri="{C3380CC4-5D6E-409C-BE32-E72D297353CC}">
              <c16:uniqueId val="{00000001-4C1A-4646-BB68-C88F67B6302F}"/>
            </c:ext>
          </c:extLst>
        </c:ser>
        <c:marker val="1"/>
        <c:axId val="350427776"/>
        <c:axId val="350254208"/>
      </c:lineChart>
      <c:catAx>
        <c:axId val="350248960"/>
        <c:scaling>
          <c:orientation val="minMax"/>
        </c:scaling>
        <c:axPos val="b"/>
        <c:numFmt formatCode="yyyy/m/d" sourceLinked="1"/>
        <c:tickLblPos val="low"/>
        <c:txPr>
          <a:bodyPr/>
          <a:lstStyle/>
          <a:p>
            <a:pPr>
              <a:defRPr sz="600"/>
            </a:pPr>
            <a:endParaRPr lang="zh-CN"/>
          </a:p>
        </c:txPr>
        <c:crossAx val="350252416"/>
        <c:crosses val="autoZero"/>
        <c:lblAlgn val="ctr"/>
        <c:lblOffset val="100"/>
      </c:catAx>
      <c:valAx>
        <c:axId val="350252416"/>
        <c:scaling>
          <c:orientation val="minMax"/>
        </c:scaling>
        <c:axPos val="l"/>
        <c:majorGridlines/>
        <c:numFmt formatCode="#,##0" sourceLinked="0"/>
        <c:tickLblPos val="nextTo"/>
        <c:txPr>
          <a:bodyPr/>
          <a:lstStyle/>
          <a:p>
            <a:pPr>
              <a:defRPr sz="600"/>
            </a:pPr>
            <a:endParaRPr lang="zh-CN"/>
          </a:p>
        </c:txPr>
        <c:crossAx val="350248960"/>
        <c:crosses val="autoZero"/>
        <c:crossBetween val="between"/>
      </c:valAx>
      <c:valAx>
        <c:axId val="350254208"/>
        <c:scaling>
          <c:orientation val="minMax"/>
        </c:scaling>
        <c:axPos val="r"/>
        <c:numFmt formatCode="0.00_ " sourceLinked="1"/>
        <c:tickLblPos val="nextTo"/>
        <c:txPr>
          <a:bodyPr/>
          <a:lstStyle/>
          <a:p>
            <a:pPr>
              <a:defRPr sz="600"/>
            </a:pPr>
            <a:endParaRPr lang="zh-CN"/>
          </a:p>
        </c:txPr>
        <c:crossAx val="350427776"/>
        <c:crosses val="max"/>
        <c:crossBetween val="between"/>
      </c:valAx>
      <c:catAx>
        <c:axId val="350427776"/>
        <c:scaling>
          <c:orientation val="minMax"/>
        </c:scaling>
        <c:delete val="1"/>
        <c:axPos val="b"/>
        <c:numFmt formatCode="yyyy/m/d" sourceLinked="1"/>
        <c:tickLblPos val="nextTo"/>
        <c:crossAx val="350254208"/>
        <c:crosses val="autoZero"/>
        <c:auto val="1"/>
        <c:lblAlgn val="ctr"/>
        <c:lblOffset val="100"/>
      </c:catAx>
    </c:plotArea>
    <c:legend>
      <c:legendPos val="r"/>
      <c:layout>
        <c:manualLayout>
          <c:xMode val="edge"/>
          <c:yMode val="edge"/>
          <c:x val="7.7590010963093939E-2"/>
          <c:y val="3.7038566900448926E-2"/>
          <c:w val="0.8568471087755557"/>
          <c:h val="4.7358546096681713E-2"/>
        </c:manualLayout>
      </c:layout>
      <c:txPr>
        <a:bodyPr/>
        <a:lstStyle/>
        <a:p>
          <a:pPr>
            <a:defRPr sz="700" b="1">
              <a:latin typeface="楷体" pitchFamily="49" charset="-122"/>
              <a:ea typeface="楷体" pitchFamily="49" charset="-122"/>
            </a:defRPr>
          </a:pPr>
          <a:endParaRPr lang="zh-CN"/>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1232714789308004"/>
          <c:y val="0.14452968834991306"/>
          <c:w val="0.85325636522100157"/>
          <c:h val="0.58611473555293481"/>
        </c:manualLayout>
      </c:layout>
      <c:barChart>
        <c:barDir val="col"/>
        <c:grouping val="stacked"/>
        <c:ser>
          <c:idx val="0"/>
          <c:order val="0"/>
          <c:tx>
            <c:strRef>
              <c:f>万得!$G$1</c:f>
              <c:strCache>
                <c:ptCount val="1"/>
                <c:pt idx="0">
                  <c:v>超大单净流入额</c:v>
                </c:pt>
              </c:strCache>
            </c:strRef>
          </c:tx>
          <c:cat>
            <c:strRef>
              <c:f>万得!$A$2:$A$52</c:f>
              <c:strCache>
                <c:ptCount val="51"/>
                <c:pt idx="0">
                  <c:v>2018-1-5</c:v>
                </c:pt>
                <c:pt idx="1">
                  <c:v>2018-1-12</c:v>
                </c:pt>
                <c:pt idx="2">
                  <c:v>2018-1-19</c:v>
                </c:pt>
                <c:pt idx="3">
                  <c:v>2018-1-26</c:v>
                </c:pt>
                <c:pt idx="4">
                  <c:v>2018-2-2</c:v>
                </c:pt>
                <c:pt idx="5">
                  <c:v>2018-2-9</c:v>
                </c:pt>
                <c:pt idx="6">
                  <c:v>2018-2-16</c:v>
                </c:pt>
                <c:pt idx="7">
                  <c:v>2018-2-23</c:v>
                </c:pt>
                <c:pt idx="8">
                  <c:v>2018-3-2</c:v>
                </c:pt>
                <c:pt idx="9">
                  <c:v>2018-3-9</c:v>
                </c:pt>
                <c:pt idx="10">
                  <c:v>2018-3-16</c:v>
                </c:pt>
                <c:pt idx="11">
                  <c:v>2018-3-23</c:v>
                </c:pt>
                <c:pt idx="12">
                  <c:v>2018-3-30</c:v>
                </c:pt>
                <c:pt idx="13">
                  <c:v>2018-4-6</c:v>
                </c:pt>
                <c:pt idx="14">
                  <c:v>2018-4-13</c:v>
                </c:pt>
                <c:pt idx="15">
                  <c:v>2018-4-20</c:v>
                </c:pt>
                <c:pt idx="16">
                  <c:v>2018-4-27</c:v>
                </c:pt>
                <c:pt idx="17">
                  <c:v>2018-5-4</c:v>
                </c:pt>
                <c:pt idx="18">
                  <c:v>2018-5-11</c:v>
                </c:pt>
                <c:pt idx="19">
                  <c:v>2018-5-18</c:v>
                </c:pt>
                <c:pt idx="20">
                  <c:v>2018-5-25</c:v>
                </c:pt>
                <c:pt idx="21">
                  <c:v>2018-6-1</c:v>
                </c:pt>
                <c:pt idx="22">
                  <c:v>2018-6-8</c:v>
                </c:pt>
                <c:pt idx="23">
                  <c:v>2018-6-15</c:v>
                </c:pt>
                <c:pt idx="24">
                  <c:v>2018-6-22</c:v>
                </c:pt>
                <c:pt idx="25">
                  <c:v>2018-6-29</c:v>
                </c:pt>
                <c:pt idx="26">
                  <c:v>2018-7-6</c:v>
                </c:pt>
                <c:pt idx="27">
                  <c:v>2018-7-13</c:v>
                </c:pt>
                <c:pt idx="28">
                  <c:v>2018-7-20</c:v>
                </c:pt>
                <c:pt idx="29">
                  <c:v>2018-7-27</c:v>
                </c:pt>
                <c:pt idx="30">
                  <c:v>2018-8-3</c:v>
                </c:pt>
                <c:pt idx="31">
                  <c:v>2018-8-10</c:v>
                </c:pt>
                <c:pt idx="32">
                  <c:v>2018-8-17</c:v>
                </c:pt>
                <c:pt idx="33">
                  <c:v>2018-8-24</c:v>
                </c:pt>
                <c:pt idx="34">
                  <c:v>2018-8-31</c:v>
                </c:pt>
                <c:pt idx="35">
                  <c:v>2018-9-7</c:v>
                </c:pt>
                <c:pt idx="36">
                  <c:v>2018-9-14</c:v>
                </c:pt>
                <c:pt idx="37">
                  <c:v>2018-9-21</c:v>
                </c:pt>
                <c:pt idx="38">
                  <c:v>2018-9-28</c:v>
                </c:pt>
                <c:pt idx="39">
                  <c:v>2018-10-12</c:v>
                </c:pt>
                <c:pt idx="40">
                  <c:v>2018-10-19</c:v>
                </c:pt>
                <c:pt idx="41">
                  <c:v>2018-10-26</c:v>
                </c:pt>
                <c:pt idx="42">
                  <c:v>2018-11-2</c:v>
                </c:pt>
                <c:pt idx="43">
                  <c:v>2018-11-9</c:v>
                </c:pt>
                <c:pt idx="44">
                  <c:v>2018-11-16</c:v>
                </c:pt>
                <c:pt idx="45">
                  <c:v>2018-11-23</c:v>
                </c:pt>
                <c:pt idx="46">
                  <c:v>2018-11-30</c:v>
                </c:pt>
                <c:pt idx="47">
                  <c:v>2018-12-07</c:v>
                </c:pt>
                <c:pt idx="48">
                  <c:v>2018-12-14</c:v>
                </c:pt>
                <c:pt idx="49">
                  <c:v>2018-12-21</c:v>
                </c:pt>
                <c:pt idx="50">
                  <c:v>2018-12-28</c:v>
                </c:pt>
              </c:strCache>
            </c:strRef>
          </c:cat>
          <c:val>
            <c:numRef>
              <c:f>万得!$G$2:$G$52</c:f>
              <c:numCache>
                <c:formatCode>#,##0.00</c:formatCode>
                <c:ptCount val="51"/>
                <c:pt idx="0">
                  <c:v>39.344256679999859</c:v>
                </c:pt>
                <c:pt idx="1">
                  <c:v>-314.34417308999974</c:v>
                </c:pt>
                <c:pt idx="2">
                  <c:v>-534.68926070999942</c:v>
                </c:pt>
                <c:pt idx="3">
                  <c:v>-445.39563199999981</c:v>
                </c:pt>
                <c:pt idx="4">
                  <c:v>-688.97950616999901</c:v>
                </c:pt>
                <c:pt idx="5">
                  <c:v>-353.42334299999823</c:v>
                </c:pt>
                <c:pt idx="6">
                  <c:v>84.193844659999755</c:v>
                </c:pt>
                <c:pt idx="7">
                  <c:v>24.345660479999953</c:v>
                </c:pt>
                <c:pt idx="8">
                  <c:v>-205.96200051999949</c:v>
                </c:pt>
                <c:pt idx="9">
                  <c:v>-110.84603351999974</c:v>
                </c:pt>
                <c:pt idx="10">
                  <c:v>-349.84240523999972</c:v>
                </c:pt>
                <c:pt idx="11">
                  <c:v>-298.87463693999837</c:v>
                </c:pt>
                <c:pt idx="12">
                  <c:v>-32.083851710000296</c:v>
                </c:pt>
                <c:pt idx="13">
                  <c:v>-166.49560622000055</c:v>
                </c:pt>
                <c:pt idx="14">
                  <c:v>-235.11227163999962</c:v>
                </c:pt>
                <c:pt idx="15">
                  <c:v>-426.91034840999919</c:v>
                </c:pt>
                <c:pt idx="16">
                  <c:v>-319.8692930199997</c:v>
                </c:pt>
                <c:pt idx="17">
                  <c:v>-63.908044160000301</c:v>
                </c:pt>
                <c:pt idx="18">
                  <c:v>-11.312516460000039</c:v>
                </c:pt>
                <c:pt idx="19">
                  <c:v>-201.8052022200003</c:v>
                </c:pt>
                <c:pt idx="20">
                  <c:v>-408.29621303000073</c:v>
                </c:pt>
                <c:pt idx="21">
                  <c:v>-192.03691801999969</c:v>
                </c:pt>
                <c:pt idx="22">
                  <c:v>-106.63383167000018</c:v>
                </c:pt>
                <c:pt idx="23">
                  <c:v>-158.6652748399988</c:v>
                </c:pt>
                <c:pt idx="24">
                  <c:v>-35.71033335999995</c:v>
                </c:pt>
                <c:pt idx="25">
                  <c:v>-169.27075087000108</c:v>
                </c:pt>
                <c:pt idx="26">
                  <c:v>-264.76855592999885</c:v>
                </c:pt>
                <c:pt idx="27">
                  <c:v>51.188960389999963</c:v>
                </c:pt>
                <c:pt idx="28">
                  <c:v>-155.25312053000005</c:v>
                </c:pt>
                <c:pt idx="29">
                  <c:v>-115.39677475999964</c:v>
                </c:pt>
                <c:pt idx="30">
                  <c:v>-367.79043507000023</c:v>
                </c:pt>
                <c:pt idx="31">
                  <c:v>40.698668580000103</c:v>
                </c:pt>
                <c:pt idx="32">
                  <c:v>-258.59923664999974</c:v>
                </c:pt>
                <c:pt idx="33">
                  <c:v>51.960791850000014</c:v>
                </c:pt>
                <c:pt idx="34">
                  <c:v>-117.81311396999961</c:v>
                </c:pt>
                <c:pt idx="35">
                  <c:v>-91.101070669999643</c:v>
                </c:pt>
                <c:pt idx="36">
                  <c:v>-180.32156505999998</c:v>
                </c:pt>
                <c:pt idx="37">
                  <c:v>245.29699141999981</c:v>
                </c:pt>
                <c:pt idx="38">
                  <c:v>-113.31721313000035</c:v>
                </c:pt>
                <c:pt idx="39">
                  <c:v>-399.02178410999989</c:v>
                </c:pt>
                <c:pt idx="40">
                  <c:v>-121.8020240099994</c:v>
                </c:pt>
                <c:pt idx="41">
                  <c:v>-92.134745720000183</c:v>
                </c:pt>
                <c:pt idx="42">
                  <c:v>266.42234123999924</c:v>
                </c:pt>
                <c:pt idx="43">
                  <c:v>-319.84757099999962</c:v>
                </c:pt>
                <c:pt idx="44">
                  <c:v>99.872116750000359</c:v>
                </c:pt>
                <c:pt idx="45">
                  <c:v>-402.35943364000201</c:v>
                </c:pt>
                <c:pt idx="46">
                  <c:v>-104.92599580999955</c:v>
                </c:pt>
                <c:pt idx="47">
                  <c:v>-100.14130489000026</c:v>
                </c:pt>
                <c:pt idx="48">
                  <c:v>-142.07494835000028</c:v>
                </c:pt>
                <c:pt idx="49">
                  <c:v>-248.00462743999921</c:v>
                </c:pt>
                <c:pt idx="50">
                  <c:v>-31.549441129999934</c:v>
                </c:pt>
              </c:numCache>
            </c:numRef>
          </c:val>
        </c:ser>
        <c:ser>
          <c:idx val="1"/>
          <c:order val="1"/>
          <c:tx>
            <c:strRef>
              <c:f>万得!$H$1</c:f>
              <c:strCache>
                <c:ptCount val="1"/>
                <c:pt idx="0">
                  <c:v>大单净流入额</c:v>
                </c:pt>
              </c:strCache>
            </c:strRef>
          </c:tx>
          <c:cat>
            <c:strRef>
              <c:f>万得!$A$2:$A$52</c:f>
              <c:strCache>
                <c:ptCount val="51"/>
                <c:pt idx="0">
                  <c:v>2018-1-5</c:v>
                </c:pt>
                <c:pt idx="1">
                  <c:v>2018-1-12</c:v>
                </c:pt>
                <c:pt idx="2">
                  <c:v>2018-1-19</c:v>
                </c:pt>
                <c:pt idx="3">
                  <c:v>2018-1-26</c:v>
                </c:pt>
                <c:pt idx="4">
                  <c:v>2018-2-2</c:v>
                </c:pt>
                <c:pt idx="5">
                  <c:v>2018-2-9</c:v>
                </c:pt>
                <c:pt idx="6">
                  <c:v>2018-2-16</c:v>
                </c:pt>
                <c:pt idx="7">
                  <c:v>2018-2-23</c:v>
                </c:pt>
                <c:pt idx="8">
                  <c:v>2018-3-2</c:v>
                </c:pt>
                <c:pt idx="9">
                  <c:v>2018-3-9</c:v>
                </c:pt>
                <c:pt idx="10">
                  <c:v>2018-3-16</c:v>
                </c:pt>
                <c:pt idx="11">
                  <c:v>2018-3-23</c:v>
                </c:pt>
                <c:pt idx="12">
                  <c:v>2018-3-30</c:v>
                </c:pt>
                <c:pt idx="13">
                  <c:v>2018-4-6</c:v>
                </c:pt>
                <c:pt idx="14">
                  <c:v>2018-4-13</c:v>
                </c:pt>
                <c:pt idx="15">
                  <c:v>2018-4-20</c:v>
                </c:pt>
                <c:pt idx="16">
                  <c:v>2018-4-27</c:v>
                </c:pt>
                <c:pt idx="17">
                  <c:v>2018-5-4</c:v>
                </c:pt>
                <c:pt idx="18">
                  <c:v>2018-5-11</c:v>
                </c:pt>
                <c:pt idx="19">
                  <c:v>2018-5-18</c:v>
                </c:pt>
                <c:pt idx="20">
                  <c:v>2018-5-25</c:v>
                </c:pt>
                <c:pt idx="21">
                  <c:v>2018-6-1</c:v>
                </c:pt>
                <c:pt idx="22">
                  <c:v>2018-6-8</c:v>
                </c:pt>
                <c:pt idx="23">
                  <c:v>2018-6-15</c:v>
                </c:pt>
                <c:pt idx="24">
                  <c:v>2018-6-22</c:v>
                </c:pt>
                <c:pt idx="25">
                  <c:v>2018-6-29</c:v>
                </c:pt>
                <c:pt idx="26">
                  <c:v>2018-7-6</c:v>
                </c:pt>
                <c:pt idx="27">
                  <c:v>2018-7-13</c:v>
                </c:pt>
                <c:pt idx="28">
                  <c:v>2018-7-20</c:v>
                </c:pt>
                <c:pt idx="29">
                  <c:v>2018-7-27</c:v>
                </c:pt>
                <c:pt idx="30">
                  <c:v>2018-8-3</c:v>
                </c:pt>
                <c:pt idx="31">
                  <c:v>2018-8-10</c:v>
                </c:pt>
                <c:pt idx="32">
                  <c:v>2018-8-17</c:v>
                </c:pt>
                <c:pt idx="33">
                  <c:v>2018-8-24</c:v>
                </c:pt>
                <c:pt idx="34">
                  <c:v>2018-8-31</c:v>
                </c:pt>
                <c:pt idx="35">
                  <c:v>2018-9-7</c:v>
                </c:pt>
                <c:pt idx="36">
                  <c:v>2018-9-14</c:v>
                </c:pt>
                <c:pt idx="37">
                  <c:v>2018-9-21</c:v>
                </c:pt>
                <c:pt idx="38">
                  <c:v>2018-9-28</c:v>
                </c:pt>
                <c:pt idx="39">
                  <c:v>2018-10-12</c:v>
                </c:pt>
                <c:pt idx="40">
                  <c:v>2018-10-19</c:v>
                </c:pt>
                <c:pt idx="41">
                  <c:v>2018-10-26</c:v>
                </c:pt>
                <c:pt idx="42">
                  <c:v>2018-11-2</c:v>
                </c:pt>
                <c:pt idx="43">
                  <c:v>2018-11-9</c:v>
                </c:pt>
                <c:pt idx="44">
                  <c:v>2018-11-16</c:v>
                </c:pt>
                <c:pt idx="45">
                  <c:v>2018-11-23</c:v>
                </c:pt>
                <c:pt idx="46">
                  <c:v>2018-11-30</c:v>
                </c:pt>
                <c:pt idx="47">
                  <c:v>2018-12-07</c:v>
                </c:pt>
                <c:pt idx="48">
                  <c:v>2018-12-14</c:v>
                </c:pt>
                <c:pt idx="49">
                  <c:v>2018-12-21</c:v>
                </c:pt>
                <c:pt idx="50">
                  <c:v>2018-12-28</c:v>
                </c:pt>
              </c:strCache>
            </c:strRef>
          </c:cat>
          <c:val>
            <c:numRef>
              <c:f>万得!$H$2:$H$52</c:f>
              <c:numCache>
                <c:formatCode>#,##0.00</c:formatCode>
                <c:ptCount val="51"/>
                <c:pt idx="0">
                  <c:v>-172.30299489999987</c:v>
                </c:pt>
                <c:pt idx="1">
                  <c:v>-408.99442351999846</c:v>
                </c:pt>
                <c:pt idx="2">
                  <c:v>-573.38969848000011</c:v>
                </c:pt>
                <c:pt idx="3">
                  <c:v>-293.61256539000078</c:v>
                </c:pt>
                <c:pt idx="4">
                  <c:v>-737.03815569000176</c:v>
                </c:pt>
                <c:pt idx="5">
                  <c:v>-752.99535624000043</c:v>
                </c:pt>
                <c:pt idx="6">
                  <c:v>-60.718861630000085</c:v>
                </c:pt>
                <c:pt idx="7">
                  <c:v>-25.543403469999994</c:v>
                </c:pt>
                <c:pt idx="8">
                  <c:v>-345.67195019999957</c:v>
                </c:pt>
                <c:pt idx="9">
                  <c:v>-290.95357900000056</c:v>
                </c:pt>
                <c:pt idx="10">
                  <c:v>-636.07543111999883</c:v>
                </c:pt>
                <c:pt idx="11">
                  <c:v>-789.86628774999815</c:v>
                </c:pt>
                <c:pt idx="12">
                  <c:v>-327.71534991000095</c:v>
                </c:pt>
                <c:pt idx="13">
                  <c:v>-397.79765066000039</c:v>
                </c:pt>
                <c:pt idx="14">
                  <c:v>-543.28849897000111</c:v>
                </c:pt>
                <c:pt idx="15">
                  <c:v>-664.37336234000122</c:v>
                </c:pt>
                <c:pt idx="16">
                  <c:v>-552.88035125999852</c:v>
                </c:pt>
                <c:pt idx="17">
                  <c:v>-235.71660080000058</c:v>
                </c:pt>
                <c:pt idx="18">
                  <c:v>-375.59830634000116</c:v>
                </c:pt>
                <c:pt idx="19">
                  <c:v>-458.52692436999905</c:v>
                </c:pt>
                <c:pt idx="20">
                  <c:v>-656.36678361999941</c:v>
                </c:pt>
                <c:pt idx="21">
                  <c:v>-699.87969258999442</c:v>
                </c:pt>
                <c:pt idx="22">
                  <c:v>-420.83060893999834</c:v>
                </c:pt>
                <c:pt idx="23">
                  <c:v>-466.96757814999978</c:v>
                </c:pt>
                <c:pt idx="24">
                  <c:v>-515.15110161000098</c:v>
                </c:pt>
                <c:pt idx="25">
                  <c:v>-330.17250605999965</c:v>
                </c:pt>
                <c:pt idx="26">
                  <c:v>-557.76074974999653</c:v>
                </c:pt>
                <c:pt idx="27">
                  <c:v>-286.26071999999948</c:v>
                </c:pt>
                <c:pt idx="28">
                  <c:v>-430.02363522999963</c:v>
                </c:pt>
                <c:pt idx="29">
                  <c:v>-350.48097569000026</c:v>
                </c:pt>
                <c:pt idx="30">
                  <c:v>-610.5086493500005</c:v>
                </c:pt>
                <c:pt idx="31">
                  <c:v>-218.74392348000163</c:v>
                </c:pt>
                <c:pt idx="32">
                  <c:v>-473.18997364000001</c:v>
                </c:pt>
                <c:pt idx="33">
                  <c:v>-220.27924758999961</c:v>
                </c:pt>
                <c:pt idx="34">
                  <c:v>-319.90142080999925</c:v>
                </c:pt>
                <c:pt idx="35">
                  <c:v>-309.23527966000069</c:v>
                </c:pt>
                <c:pt idx="36">
                  <c:v>-357.58072365000095</c:v>
                </c:pt>
                <c:pt idx="37">
                  <c:v>-80.397654930000186</c:v>
                </c:pt>
                <c:pt idx="38">
                  <c:v>-218.74660701999983</c:v>
                </c:pt>
                <c:pt idx="39">
                  <c:v>-595.2988738500037</c:v>
                </c:pt>
                <c:pt idx="40">
                  <c:v>-389.57756497999816</c:v>
                </c:pt>
                <c:pt idx="41">
                  <c:v>-360.55429147000126</c:v>
                </c:pt>
                <c:pt idx="42">
                  <c:v>-52.613958900000007</c:v>
                </c:pt>
                <c:pt idx="43">
                  <c:v>-513.14846840999871</c:v>
                </c:pt>
                <c:pt idx="44">
                  <c:v>-205.26879965999981</c:v>
                </c:pt>
                <c:pt idx="45">
                  <c:v>-725.73565117000419</c:v>
                </c:pt>
                <c:pt idx="46">
                  <c:v>-348.84459593000008</c:v>
                </c:pt>
                <c:pt idx="47">
                  <c:v>-331.6410817999984</c:v>
                </c:pt>
                <c:pt idx="48">
                  <c:v>-334.42163068999969</c:v>
                </c:pt>
                <c:pt idx="49">
                  <c:v>-427.23213548999814</c:v>
                </c:pt>
                <c:pt idx="50">
                  <c:v>-376.5919718000024</c:v>
                </c:pt>
              </c:numCache>
            </c:numRef>
          </c:val>
        </c:ser>
        <c:ser>
          <c:idx val="2"/>
          <c:order val="2"/>
          <c:tx>
            <c:strRef>
              <c:f>万得!$I$1</c:f>
              <c:strCache>
                <c:ptCount val="1"/>
                <c:pt idx="0">
                  <c:v>中单净流入额</c:v>
                </c:pt>
              </c:strCache>
            </c:strRef>
          </c:tx>
          <c:cat>
            <c:strRef>
              <c:f>万得!$A$2:$A$52</c:f>
              <c:strCache>
                <c:ptCount val="51"/>
                <c:pt idx="0">
                  <c:v>2018-1-5</c:v>
                </c:pt>
                <c:pt idx="1">
                  <c:v>2018-1-12</c:v>
                </c:pt>
                <c:pt idx="2">
                  <c:v>2018-1-19</c:v>
                </c:pt>
                <c:pt idx="3">
                  <c:v>2018-1-26</c:v>
                </c:pt>
                <c:pt idx="4">
                  <c:v>2018-2-2</c:v>
                </c:pt>
                <c:pt idx="5">
                  <c:v>2018-2-9</c:v>
                </c:pt>
                <c:pt idx="6">
                  <c:v>2018-2-16</c:v>
                </c:pt>
                <c:pt idx="7">
                  <c:v>2018-2-23</c:v>
                </c:pt>
                <c:pt idx="8">
                  <c:v>2018-3-2</c:v>
                </c:pt>
                <c:pt idx="9">
                  <c:v>2018-3-9</c:v>
                </c:pt>
                <c:pt idx="10">
                  <c:v>2018-3-16</c:v>
                </c:pt>
                <c:pt idx="11">
                  <c:v>2018-3-23</c:v>
                </c:pt>
                <c:pt idx="12">
                  <c:v>2018-3-30</c:v>
                </c:pt>
                <c:pt idx="13">
                  <c:v>2018-4-6</c:v>
                </c:pt>
                <c:pt idx="14">
                  <c:v>2018-4-13</c:v>
                </c:pt>
                <c:pt idx="15">
                  <c:v>2018-4-20</c:v>
                </c:pt>
                <c:pt idx="16">
                  <c:v>2018-4-27</c:v>
                </c:pt>
                <c:pt idx="17">
                  <c:v>2018-5-4</c:v>
                </c:pt>
                <c:pt idx="18">
                  <c:v>2018-5-11</c:v>
                </c:pt>
                <c:pt idx="19">
                  <c:v>2018-5-18</c:v>
                </c:pt>
                <c:pt idx="20">
                  <c:v>2018-5-25</c:v>
                </c:pt>
                <c:pt idx="21">
                  <c:v>2018-6-1</c:v>
                </c:pt>
                <c:pt idx="22">
                  <c:v>2018-6-8</c:v>
                </c:pt>
                <c:pt idx="23">
                  <c:v>2018-6-15</c:v>
                </c:pt>
                <c:pt idx="24">
                  <c:v>2018-6-22</c:v>
                </c:pt>
                <c:pt idx="25">
                  <c:v>2018-6-29</c:v>
                </c:pt>
                <c:pt idx="26">
                  <c:v>2018-7-6</c:v>
                </c:pt>
                <c:pt idx="27">
                  <c:v>2018-7-13</c:v>
                </c:pt>
                <c:pt idx="28">
                  <c:v>2018-7-20</c:v>
                </c:pt>
                <c:pt idx="29">
                  <c:v>2018-7-27</c:v>
                </c:pt>
                <c:pt idx="30">
                  <c:v>2018-8-3</c:v>
                </c:pt>
                <c:pt idx="31">
                  <c:v>2018-8-10</c:v>
                </c:pt>
                <c:pt idx="32">
                  <c:v>2018-8-17</c:v>
                </c:pt>
                <c:pt idx="33">
                  <c:v>2018-8-24</c:v>
                </c:pt>
                <c:pt idx="34">
                  <c:v>2018-8-31</c:v>
                </c:pt>
                <c:pt idx="35">
                  <c:v>2018-9-7</c:v>
                </c:pt>
                <c:pt idx="36">
                  <c:v>2018-9-14</c:v>
                </c:pt>
                <c:pt idx="37">
                  <c:v>2018-9-21</c:v>
                </c:pt>
                <c:pt idx="38">
                  <c:v>2018-9-28</c:v>
                </c:pt>
                <c:pt idx="39">
                  <c:v>2018-10-12</c:v>
                </c:pt>
                <c:pt idx="40">
                  <c:v>2018-10-19</c:v>
                </c:pt>
                <c:pt idx="41">
                  <c:v>2018-10-26</c:v>
                </c:pt>
                <c:pt idx="42">
                  <c:v>2018-11-2</c:v>
                </c:pt>
                <c:pt idx="43">
                  <c:v>2018-11-9</c:v>
                </c:pt>
                <c:pt idx="44">
                  <c:v>2018-11-16</c:v>
                </c:pt>
                <c:pt idx="45">
                  <c:v>2018-11-23</c:v>
                </c:pt>
                <c:pt idx="46">
                  <c:v>2018-11-30</c:v>
                </c:pt>
                <c:pt idx="47">
                  <c:v>2018-12-07</c:v>
                </c:pt>
                <c:pt idx="48">
                  <c:v>2018-12-14</c:v>
                </c:pt>
                <c:pt idx="49">
                  <c:v>2018-12-21</c:v>
                </c:pt>
                <c:pt idx="50">
                  <c:v>2018-12-28</c:v>
                </c:pt>
              </c:strCache>
            </c:strRef>
          </c:cat>
          <c:val>
            <c:numRef>
              <c:f>万得!$I$2:$I$52</c:f>
              <c:numCache>
                <c:formatCode>#,##0.00</c:formatCode>
                <c:ptCount val="51"/>
                <c:pt idx="0">
                  <c:v>-69.185309619999387</c:v>
                </c:pt>
                <c:pt idx="1">
                  <c:v>18.21073405000006</c:v>
                </c:pt>
                <c:pt idx="2">
                  <c:v>120.77474843999957</c:v>
                </c:pt>
                <c:pt idx="3">
                  <c:v>58.341928479999744</c:v>
                </c:pt>
                <c:pt idx="4">
                  <c:v>97.252738399999288</c:v>
                </c:pt>
                <c:pt idx="5">
                  <c:v>8.0449313599999392</c:v>
                </c:pt>
                <c:pt idx="6">
                  <c:v>-97.286019159999952</c:v>
                </c:pt>
                <c:pt idx="7">
                  <c:v>-36.357739339999966</c:v>
                </c:pt>
                <c:pt idx="8">
                  <c:v>7.2724086200000997</c:v>
                </c:pt>
                <c:pt idx="9">
                  <c:v>8.662478089999869</c:v>
                </c:pt>
                <c:pt idx="10">
                  <c:v>10.125686390000084</c:v>
                </c:pt>
                <c:pt idx="11">
                  <c:v>-111.75095792000019</c:v>
                </c:pt>
                <c:pt idx="12">
                  <c:v>-94.930621739999893</c:v>
                </c:pt>
                <c:pt idx="13">
                  <c:v>-58.590327799999962</c:v>
                </c:pt>
                <c:pt idx="14">
                  <c:v>-0.31555830000002688</c:v>
                </c:pt>
                <c:pt idx="15">
                  <c:v>8.0714056300001502</c:v>
                </c:pt>
                <c:pt idx="16">
                  <c:v>30.631820659999391</c:v>
                </c:pt>
                <c:pt idx="17">
                  <c:v>-38.704672549999913</c:v>
                </c:pt>
                <c:pt idx="18">
                  <c:v>-141.12039455000064</c:v>
                </c:pt>
                <c:pt idx="19">
                  <c:v>-63.988125790000183</c:v>
                </c:pt>
                <c:pt idx="20">
                  <c:v>67.765133279999461</c:v>
                </c:pt>
                <c:pt idx="21">
                  <c:v>-170.97455295000017</c:v>
                </c:pt>
                <c:pt idx="22">
                  <c:v>-57.312729650000001</c:v>
                </c:pt>
                <c:pt idx="23">
                  <c:v>-107.33139813000025</c:v>
                </c:pt>
                <c:pt idx="24">
                  <c:v>-152.00355157999988</c:v>
                </c:pt>
                <c:pt idx="25">
                  <c:v>-46.802063409999946</c:v>
                </c:pt>
                <c:pt idx="26">
                  <c:v>-79.384028559999848</c:v>
                </c:pt>
                <c:pt idx="27">
                  <c:v>-143.48948059</c:v>
                </c:pt>
                <c:pt idx="28">
                  <c:v>-72.903866959999903</c:v>
                </c:pt>
                <c:pt idx="29">
                  <c:v>-87.419602580000316</c:v>
                </c:pt>
                <c:pt idx="30">
                  <c:v>-10.603780769999878</c:v>
                </c:pt>
                <c:pt idx="31">
                  <c:v>-124.09123290000039</c:v>
                </c:pt>
                <c:pt idx="32">
                  <c:v>-70.70870348999982</c:v>
                </c:pt>
                <c:pt idx="33">
                  <c:v>-117.62018797999971</c:v>
                </c:pt>
                <c:pt idx="34">
                  <c:v>-62.040378270000289</c:v>
                </c:pt>
                <c:pt idx="35">
                  <c:v>-58.493485740000033</c:v>
                </c:pt>
                <c:pt idx="36">
                  <c:v>-5.2193321200000877</c:v>
                </c:pt>
                <c:pt idx="37">
                  <c:v>-228.32214261999931</c:v>
                </c:pt>
                <c:pt idx="38">
                  <c:v>-17.051186949999973</c:v>
                </c:pt>
                <c:pt idx="39">
                  <c:v>18.889743759999593</c:v>
                </c:pt>
                <c:pt idx="40">
                  <c:v>-81.416452579999898</c:v>
                </c:pt>
                <c:pt idx="41">
                  <c:v>-58.173220229999941</c:v>
                </c:pt>
                <c:pt idx="42">
                  <c:v>-225.99155119000088</c:v>
                </c:pt>
                <c:pt idx="43">
                  <c:v>45.921498049999805</c:v>
                </c:pt>
                <c:pt idx="44">
                  <c:v>-126.49364662999908</c:v>
                </c:pt>
                <c:pt idx="45">
                  <c:v>43.530523999999687</c:v>
                </c:pt>
                <c:pt idx="46">
                  <c:v>-56.617108459999898</c:v>
                </c:pt>
                <c:pt idx="47">
                  <c:v>-61.805228210000053</c:v>
                </c:pt>
                <c:pt idx="48">
                  <c:v>-47.456789589999964</c:v>
                </c:pt>
                <c:pt idx="49">
                  <c:v>18.68161390000013</c:v>
                </c:pt>
                <c:pt idx="50">
                  <c:v>-117.88686643999951</c:v>
                </c:pt>
              </c:numCache>
            </c:numRef>
          </c:val>
        </c:ser>
        <c:ser>
          <c:idx val="3"/>
          <c:order val="3"/>
          <c:tx>
            <c:strRef>
              <c:f>万得!$J$1</c:f>
              <c:strCache>
                <c:ptCount val="1"/>
                <c:pt idx="0">
                  <c:v>小单净流入额</c:v>
                </c:pt>
              </c:strCache>
            </c:strRef>
          </c:tx>
          <c:cat>
            <c:strRef>
              <c:f>万得!$A$2:$A$52</c:f>
              <c:strCache>
                <c:ptCount val="51"/>
                <c:pt idx="0">
                  <c:v>2018-1-5</c:v>
                </c:pt>
                <c:pt idx="1">
                  <c:v>2018-1-12</c:v>
                </c:pt>
                <c:pt idx="2">
                  <c:v>2018-1-19</c:v>
                </c:pt>
                <c:pt idx="3">
                  <c:v>2018-1-26</c:v>
                </c:pt>
                <c:pt idx="4">
                  <c:v>2018-2-2</c:v>
                </c:pt>
                <c:pt idx="5">
                  <c:v>2018-2-9</c:v>
                </c:pt>
                <c:pt idx="6">
                  <c:v>2018-2-16</c:v>
                </c:pt>
                <c:pt idx="7">
                  <c:v>2018-2-23</c:v>
                </c:pt>
                <c:pt idx="8">
                  <c:v>2018-3-2</c:v>
                </c:pt>
                <c:pt idx="9">
                  <c:v>2018-3-9</c:v>
                </c:pt>
                <c:pt idx="10">
                  <c:v>2018-3-16</c:v>
                </c:pt>
                <c:pt idx="11">
                  <c:v>2018-3-23</c:v>
                </c:pt>
                <c:pt idx="12">
                  <c:v>2018-3-30</c:v>
                </c:pt>
                <c:pt idx="13">
                  <c:v>2018-4-6</c:v>
                </c:pt>
                <c:pt idx="14">
                  <c:v>2018-4-13</c:v>
                </c:pt>
                <c:pt idx="15">
                  <c:v>2018-4-20</c:v>
                </c:pt>
                <c:pt idx="16">
                  <c:v>2018-4-27</c:v>
                </c:pt>
                <c:pt idx="17">
                  <c:v>2018-5-4</c:v>
                </c:pt>
                <c:pt idx="18">
                  <c:v>2018-5-11</c:v>
                </c:pt>
                <c:pt idx="19">
                  <c:v>2018-5-18</c:v>
                </c:pt>
                <c:pt idx="20">
                  <c:v>2018-5-25</c:v>
                </c:pt>
                <c:pt idx="21">
                  <c:v>2018-6-1</c:v>
                </c:pt>
                <c:pt idx="22">
                  <c:v>2018-6-8</c:v>
                </c:pt>
                <c:pt idx="23">
                  <c:v>2018-6-15</c:v>
                </c:pt>
                <c:pt idx="24">
                  <c:v>2018-6-22</c:v>
                </c:pt>
                <c:pt idx="25">
                  <c:v>2018-6-29</c:v>
                </c:pt>
                <c:pt idx="26">
                  <c:v>2018-7-6</c:v>
                </c:pt>
                <c:pt idx="27">
                  <c:v>2018-7-13</c:v>
                </c:pt>
                <c:pt idx="28">
                  <c:v>2018-7-20</c:v>
                </c:pt>
                <c:pt idx="29">
                  <c:v>2018-7-27</c:v>
                </c:pt>
                <c:pt idx="30">
                  <c:v>2018-8-3</c:v>
                </c:pt>
                <c:pt idx="31">
                  <c:v>2018-8-10</c:v>
                </c:pt>
                <c:pt idx="32">
                  <c:v>2018-8-17</c:v>
                </c:pt>
                <c:pt idx="33">
                  <c:v>2018-8-24</c:v>
                </c:pt>
                <c:pt idx="34">
                  <c:v>2018-8-31</c:v>
                </c:pt>
                <c:pt idx="35">
                  <c:v>2018-9-7</c:v>
                </c:pt>
                <c:pt idx="36">
                  <c:v>2018-9-14</c:v>
                </c:pt>
                <c:pt idx="37">
                  <c:v>2018-9-21</c:v>
                </c:pt>
                <c:pt idx="38">
                  <c:v>2018-9-28</c:v>
                </c:pt>
                <c:pt idx="39">
                  <c:v>2018-10-12</c:v>
                </c:pt>
                <c:pt idx="40">
                  <c:v>2018-10-19</c:v>
                </c:pt>
                <c:pt idx="41">
                  <c:v>2018-10-26</c:v>
                </c:pt>
                <c:pt idx="42">
                  <c:v>2018-11-2</c:v>
                </c:pt>
                <c:pt idx="43">
                  <c:v>2018-11-9</c:v>
                </c:pt>
                <c:pt idx="44">
                  <c:v>2018-11-16</c:v>
                </c:pt>
                <c:pt idx="45">
                  <c:v>2018-11-23</c:v>
                </c:pt>
                <c:pt idx="46">
                  <c:v>2018-11-30</c:v>
                </c:pt>
                <c:pt idx="47">
                  <c:v>2018-12-07</c:v>
                </c:pt>
                <c:pt idx="48">
                  <c:v>2018-12-14</c:v>
                </c:pt>
                <c:pt idx="49">
                  <c:v>2018-12-21</c:v>
                </c:pt>
                <c:pt idx="50">
                  <c:v>2018-12-28</c:v>
                </c:pt>
              </c:strCache>
            </c:strRef>
          </c:cat>
          <c:val>
            <c:numRef>
              <c:f>万得!$J$2:$J$52</c:f>
              <c:numCache>
                <c:formatCode>#,##0.00</c:formatCode>
                <c:ptCount val="51"/>
                <c:pt idx="0">
                  <c:v>206.59179728999979</c:v>
                </c:pt>
                <c:pt idx="1">
                  <c:v>723.75571808000143</c:v>
                </c:pt>
                <c:pt idx="2">
                  <c:v>1018.282519670003</c:v>
                </c:pt>
                <c:pt idx="3">
                  <c:v>699.07155268999588</c:v>
                </c:pt>
                <c:pt idx="4">
                  <c:v>1369.4377769200032</c:v>
                </c:pt>
                <c:pt idx="5">
                  <c:v>1145.6207501800047</c:v>
                </c:pt>
                <c:pt idx="6">
                  <c:v>75.460274069999926</c:v>
                </c:pt>
                <c:pt idx="7">
                  <c:v>33.552331459999991</c:v>
                </c:pt>
                <c:pt idx="8">
                  <c:v>548.18577016999666</c:v>
                </c:pt>
                <c:pt idx="9">
                  <c:v>397.77909987999925</c:v>
                </c:pt>
                <c:pt idx="10">
                  <c:v>999.79373350000094</c:v>
                </c:pt>
                <c:pt idx="11">
                  <c:v>1229.7894302399945</c:v>
                </c:pt>
                <c:pt idx="12">
                  <c:v>459.55076283000204</c:v>
                </c:pt>
                <c:pt idx="13">
                  <c:v>639.21590232999858</c:v>
                </c:pt>
                <c:pt idx="14">
                  <c:v>796.32082569000227</c:v>
                </c:pt>
                <c:pt idx="15">
                  <c:v>1116.068784939999</c:v>
                </c:pt>
                <c:pt idx="16">
                  <c:v>859.97136979000368</c:v>
                </c:pt>
                <c:pt idx="17">
                  <c:v>343.28320484999773</c:v>
                </c:pt>
                <c:pt idx="18">
                  <c:v>531.64756651999949</c:v>
                </c:pt>
                <c:pt idx="19">
                  <c:v>733.25389729000165</c:v>
                </c:pt>
                <c:pt idx="20">
                  <c:v>1019.1795189800034</c:v>
                </c:pt>
                <c:pt idx="21">
                  <c:v>1092.768313229999</c:v>
                </c:pt>
                <c:pt idx="22">
                  <c:v>597.96320054999842</c:v>
                </c:pt>
                <c:pt idx="23">
                  <c:v>753.86453049000011</c:v>
                </c:pt>
                <c:pt idx="24">
                  <c:v>719.03625908999607</c:v>
                </c:pt>
                <c:pt idx="25">
                  <c:v>558.51321744999996</c:v>
                </c:pt>
                <c:pt idx="26">
                  <c:v>921.89667951999809</c:v>
                </c:pt>
                <c:pt idx="27">
                  <c:v>374.62987503000181</c:v>
                </c:pt>
                <c:pt idx="28">
                  <c:v>668.99119199000449</c:v>
                </c:pt>
                <c:pt idx="29">
                  <c:v>563.8129096600029</c:v>
                </c:pt>
                <c:pt idx="30">
                  <c:v>1021.451894099999</c:v>
                </c:pt>
                <c:pt idx="31">
                  <c:v>308.35029752999975</c:v>
                </c:pt>
                <c:pt idx="32">
                  <c:v>825.05793505999839</c:v>
                </c:pt>
                <c:pt idx="33">
                  <c:v>288.44054413000038</c:v>
                </c:pt>
                <c:pt idx="34">
                  <c:v>511.93267619999983</c:v>
                </c:pt>
                <c:pt idx="35">
                  <c:v>472.42533421000246</c:v>
                </c:pt>
                <c:pt idx="36">
                  <c:v>560.64326686999732</c:v>
                </c:pt>
                <c:pt idx="37">
                  <c:v>58.014255310000131</c:v>
                </c:pt>
                <c:pt idx="38">
                  <c:v>355.57149274999853</c:v>
                </c:pt>
                <c:pt idx="39">
                  <c:v>1002.5626400599954</c:v>
                </c:pt>
                <c:pt idx="40">
                  <c:v>609.0440432999975</c:v>
                </c:pt>
                <c:pt idx="41">
                  <c:v>517.41154167999764</c:v>
                </c:pt>
                <c:pt idx="42">
                  <c:v>16.10372148000004</c:v>
                </c:pt>
                <c:pt idx="43">
                  <c:v>808.8345395000016</c:v>
                </c:pt>
                <c:pt idx="44">
                  <c:v>225.19114435999987</c:v>
                </c:pt>
                <c:pt idx="45">
                  <c:v>1109.9060097199981</c:v>
                </c:pt>
                <c:pt idx="46">
                  <c:v>520.20182350999869</c:v>
                </c:pt>
                <c:pt idx="47">
                  <c:v>501.23697111000024</c:v>
                </c:pt>
                <c:pt idx="48">
                  <c:v>538.55483192999873</c:v>
                </c:pt>
                <c:pt idx="49">
                  <c:v>667.93744082000228</c:v>
                </c:pt>
                <c:pt idx="50">
                  <c:v>535.6991750899997</c:v>
                </c:pt>
              </c:numCache>
            </c:numRef>
          </c:val>
        </c:ser>
        <c:overlap val="100"/>
        <c:axId val="354209792"/>
        <c:axId val="354211328"/>
      </c:barChart>
      <c:catAx>
        <c:axId val="354209792"/>
        <c:scaling>
          <c:orientation val="minMax"/>
        </c:scaling>
        <c:axPos val="b"/>
        <c:numFmt formatCode="yyyy/m/d" sourceLinked="1"/>
        <c:tickLblPos val="low"/>
        <c:txPr>
          <a:bodyPr/>
          <a:lstStyle/>
          <a:p>
            <a:pPr>
              <a:defRPr sz="600"/>
            </a:pPr>
            <a:endParaRPr lang="zh-CN"/>
          </a:p>
        </c:txPr>
        <c:crossAx val="354211328"/>
        <c:crosses val="autoZero"/>
        <c:auto val="1"/>
        <c:lblAlgn val="ctr"/>
        <c:lblOffset val="100"/>
      </c:catAx>
      <c:valAx>
        <c:axId val="354211328"/>
        <c:scaling>
          <c:orientation val="minMax"/>
          <c:max val="1500"/>
          <c:min val="-1500"/>
        </c:scaling>
        <c:axPos val="l"/>
        <c:majorGridlines/>
        <c:numFmt formatCode="#,##0" sourceLinked="0"/>
        <c:tickLblPos val="nextTo"/>
        <c:txPr>
          <a:bodyPr/>
          <a:lstStyle/>
          <a:p>
            <a:pPr>
              <a:defRPr sz="600"/>
            </a:pPr>
            <a:endParaRPr lang="zh-CN"/>
          </a:p>
        </c:txPr>
        <c:crossAx val="354209792"/>
        <c:crosses val="autoZero"/>
        <c:crossBetween val="between"/>
      </c:valAx>
    </c:plotArea>
    <c:legend>
      <c:legendPos val="r"/>
      <c:layout>
        <c:manualLayout>
          <c:xMode val="edge"/>
          <c:yMode val="edge"/>
          <c:x val="1.5785482448970503E-2"/>
          <c:y val="2.2926875664785011E-2"/>
          <c:w val="0.97418186479776059"/>
          <c:h val="9.5180252483623273E-2"/>
        </c:manualLayout>
      </c:layout>
      <c:txPr>
        <a:bodyPr/>
        <a:lstStyle/>
        <a:p>
          <a:pPr>
            <a:defRPr sz="700" b="1">
              <a:latin typeface="楷体" pitchFamily="49" charset="-122"/>
              <a:ea typeface="楷体" pitchFamily="49" charset="-122"/>
            </a:defRPr>
          </a:pPr>
          <a:endParaRPr lang="zh-CN"/>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9.3695902113299298E-2"/>
          <c:y val="0.14695143937678756"/>
          <c:w val="0.86745825223260864"/>
          <c:h val="0.58195668033508596"/>
        </c:manualLayout>
      </c:layout>
      <c:lineChart>
        <c:grouping val="standard"/>
        <c:ser>
          <c:idx val="0"/>
          <c:order val="0"/>
          <c:tx>
            <c:strRef>
              <c:f>板块配置!$B$1</c:f>
              <c:strCache>
                <c:ptCount val="1"/>
                <c:pt idx="0">
                  <c:v>主板主力净流入额</c:v>
                </c:pt>
              </c:strCache>
            </c:strRef>
          </c:tx>
          <c:marker>
            <c:symbol val="none"/>
          </c:marker>
          <c:cat>
            <c:strRef>
              <c:f>板块配置!$A$2:$A$52</c:f>
              <c:strCache>
                <c:ptCount val="51"/>
                <c:pt idx="0">
                  <c:v>2018-1-5</c:v>
                </c:pt>
                <c:pt idx="1">
                  <c:v>2018-1-12</c:v>
                </c:pt>
                <c:pt idx="2">
                  <c:v>2018-1-19</c:v>
                </c:pt>
                <c:pt idx="3">
                  <c:v>2018-1-26</c:v>
                </c:pt>
                <c:pt idx="4">
                  <c:v>2018-2-2</c:v>
                </c:pt>
                <c:pt idx="5">
                  <c:v>2018-2-9</c:v>
                </c:pt>
                <c:pt idx="6">
                  <c:v>2018-2-16</c:v>
                </c:pt>
                <c:pt idx="7">
                  <c:v>2018-2-23</c:v>
                </c:pt>
                <c:pt idx="8">
                  <c:v>2018-3-2</c:v>
                </c:pt>
                <c:pt idx="9">
                  <c:v>2018-3-9</c:v>
                </c:pt>
                <c:pt idx="10">
                  <c:v>2018-3-16</c:v>
                </c:pt>
                <c:pt idx="11">
                  <c:v>2018-3-23</c:v>
                </c:pt>
                <c:pt idx="12">
                  <c:v>2018-3-30</c:v>
                </c:pt>
                <c:pt idx="13">
                  <c:v>2018-4-6</c:v>
                </c:pt>
                <c:pt idx="14">
                  <c:v>2018-4-13</c:v>
                </c:pt>
                <c:pt idx="15">
                  <c:v>2018-4-20</c:v>
                </c:pt>
                <c:pt idx="16">
                  <c:v>2018-4-27</c:v>
                </c:pt>
                <c:pt idx="17">
                  <c:v>2018-5-4</c:v>
                </c:pt>
                <c:pt idx="18">
                  <c:v>2018-5-11</c:v>
                </c:pt>
                <c:pt idx="19">
                  <c:v>2018-5-18</c:v>
                </c:pt>
                <c:pt idx="20">
                  <c:v>2018-5-25</c:v>
                </c:pt>
                <c:pt idx="21">
                  <c:v>2018-6-1</c:v>
                </c:pt>
                <c:pt idx="22">
                  <c:v>2018-6-8</c:v>
                </c:pt>
                <c:pt idx="23">
                  <c:v>2018-6-15</c:v>
                </c:pt>
                <c:pt idx="24">
                  <c:v>2018-6-22</c:v>
                </c:pt>
                <c:pt idx="25">
                  <c:v>2018-6-29</c:v>
                </c:pt>
                <c:pt idx="26">
                  <c:v>2018-7-6</c:v>
                </c:pt>
                <c:pt idx="27">
                  <c:v>2018-7-13</c:v>
                </c:pt>
                <c:pt idx="28">
                  <c:v>2018-7-20</c:v>
                </c:pt>
                <c:pt idx="29">
                  <c:v>2018-7-27</c:v>
                </c:pt>
                <c:pt idx="30">
                  <c:v>2018-8-3</c:v>
                </c:pt>
                <c:pt idx="31">
                  <c:v>2018-8-10</c:v>
                </c:pt>
                <c:pt idx="32">
                  <c:v>2018-8-17</c:v>
                </c:pt>
                <c:pt idx="33">
                  <c:v>2018-8-24</c:v>
                </c:pt>
                <c:pt idx="34">
                  <c:v>2018-8-31</c:v>
                </c:pt>
                <c:pt idx="35">
                  <c:v>2018-9-7</c:v>
                </c:pt>
                <c:pt idx="36">
                  <c:v>2018-9-14</c:v>
                </c:pt>
                <c:pt idx="37">
                  <c:v>2018-9-21</c:v>
                </c:pt>
                <c:pt idx="38">
                  <c:v>2018-9-28</c:v>
                </c:pt>
                <c:pt idx="39">
                  <c:v>2018-10-12</c:v>
                </c:pt>
                <c:pt idx="40">
                  <c:v>2018-10-19</c:v>
                </c:pt>
                <c:pt idx="41">
                  <c:v>2018-10-26</c:v>
                </c:pt>
                <c:pt idx="42">
                  <c:v>2018-11-2</c:v>
                </c:pt>
                <c:pt idx="43">
                  <c:v>2018-11-9</c:v>
                </c:pt>
                <c:pt idx="44">
                  <c:v>2018-11-16</c:v>
                </c:pt>
                <c:pt idx="45">
                  <c:v>2018-11-23</c:v>
                </c:pt>
                <c:pt idx="46">
                  <c:v>2018-11-30</c:v>
                </c:pt>
                <c:pt idx="47">
                  <c:v>2018-12-07</c:v>
                </c:pt>
                <c:pt idx="48">
                  <c:v>2018-12-14</c:v>
                </c:pt>
                <c:pt idx="49">
                  <c:v>2018-12-21</c:v>
                </c:pt>
                <c:pt idx="50">
                  <c:v>2018-12-28</c:v>
                </c:pt>
              </c:strCache>
            </c:strRef>
          </c:cat>
          <c:val>
            <c:numRef>
              <c:f>板块配置!$B$2:$B$52</c:f>
              <c:numCache>
                <c:formatCode>0.00_ </c:formatCode>
                <c:ptCount val="51"/>
                <c:pt idx="0">
                  <c:v>-70.39141671999964</c:v>
                </c:pt>
                <c:pt idx="1">
                  <c:v>-384.08416780000118</c:v>
                </c:pt>
                <c:pt idx="2">
                  <c:v>-1031.4814236000034</c:v>
                </c:pt>
                <c:pt idx="3">
                  <c:v>-594.64389803000051</c:v>
                </c:pt>
                <c:pt idx="4">
                  <c:v>-1097.0209051899967</c:v>
                </c:pt>
                <c:pt idx="5">
                  <c:v>-757.44176447000177</c:v>
                </c:pt>
                <c:pt idx="6">
                  <c:v>139.91737534000026</c:v>
                </c:pt>
                <c:pt idx="7">
                  <c:v>21.937794750000027</c:v>
                </c:pt>
                <c:pt idx="8">
                  <c:v>-415.3738820899988</c:v>
                </c:pt>
                <c:pt idx="9">
                  <c:v>-337.36917022999961</c:v>
                </c:pt>
                <c:pt idx="10">
                  <c:v>-697.67223054999272</c:v>
                </c:pt>
                <c:pt idx="11">
                  <c:v>-846.57828598000003</c:v>
                </c:pt>
                <c:pt idx="12">
                  <c:v>-275.05467150000101</c:v>
                </c:pt>
                <c:pt idx="13">
                  <c:v>-360.43362703000025</c:v>
                </c:pt>
                <c:pt idx="14">
                  <c:v>-352.52292173000092</c:v>
                </c:pt>
                <c:pt idx="15">
                  <c:v>-787.94245707999448</c:v>
                </c:pt>
                <c:pt idx="16">
                  <c:v>-595.11019939999744</c:v>
                </c:pt>
                <c:pt idx="17">
                  <c:v>-159.05830913999944</c:v>
                </c:pt>
                <c:pt idx="18">
                  <c:v>-85.385925910001248</c:v>
                </c:pt>
                <c:pt idx="19">
                  <c:v>-412.93677487999963</c:v>
                </c:pt>
                <c:pt idx="20">
                  <c:v>-709.58944208000685</c:v>
                </c:pt>
                <c:pt idx="21">
                  <c:v>-493.6499053499993</c:v>
                </c:pt>
                <c:pt idx="22">
                  <c:v>-283.5713975799996</c:v>
                </c:pt>
                <c:pt idx="23">
                  <c:v>-257.63580872999796</c:v>
                </c:pt>
                <c:pt idx="24">
                  <c:v>-232.05435699000165</c:v>
                </c:pt>
                <c:pt idx="25">
                  <c:v>-331.73411133000064</c:v>
                </c:pt>
                <c:pt idx="26">
                  <c:v>-558.30644743999949</c:v>
                </c:pt>
                <c:pt idx="27">
                  <c:v>-107.62467983000066</c:v>
                </c:pt>
                <c:pt idx="28">
                  <c:v>-249.99212076000083</c:v>
                </c:pt>
                <c:pt idx="29">
                  <c:v>-48.884125919999008</c:v>
                </c:pt>
                <c:pt idx="30">
                  <c:v>-619.72433957999772</c:v>
                </c:pt>
                <c:pt idx="31">
                  <c:v>3.9763865499976991</c:v>
                </c:pt>
                <c:pt idx="32">
                  <c:v>-565.9903292499996</c:v>
                </c:pt>
                <c:pt idx="33">
                  <c:v>145.50364030000048</c:v>
                </c:pt>
                <c:pt idx="34">
                  <c:v>-129.64002137000142</c:v>
                </c:pt>
                <c:pt idx="35">
                  <c:v>-285.45954509999933</c:v>
                </c:pt>
                <c:pt idx="36">
                  <c:v>-352.02535125999947</c:v>
                </c:pt>
                <c:pt idx="37">
                  <c:v>165.15696676999858</c:v>
                </c:pt>
                <c:pt idx="38">
                  <c:v>-295.99018291999829</c:v>
                </c:pt>
                <c:pt idx="39">
                  <c:v>-721.79889391999257</c:v>
                </c:pt>
                <c:pt idx="40">
                  <c:v>-201.21612396000037</c:v>
                </c:pt>
                <c:pt idx="41">
                  <c:v>-212.06978968999871</c:v>
                </c:pt>
                <c:pt idx="42">
                  <c:v>425.34375439000098</c:v>
                </c:pt>
                <c:pt idx="43">
                  <c:v>-545.24307445000056</c:v>
                </c:pt>
                <c:pt idx="44">
                  <c:v>-80.131151839999958</c:v>
                </c:pt>
                <c:pt idx="45">
                  <c:v>-645.96204334000527</c:v>
                </c:pt>
                <c:pt idx="46">
                  <c:v>-265.56496477000167</c:v>
                </c:pt>
                <c:pt idx="47">
                  <c:v>-258.22947782999898</c:v>
                </c:pt>
                <c:pt idx="48">
                  <c:v>-260.53294761000092</c:v>
                </c:pt>
                <c:pt idx="49">
                  <c:v>-443.15176160000379</c:v>
                </c:pt>
                <c:pt idx="50">
                  <c:v>-231.05872635000108</c:v>
                </c:pt>
              </c:numCache>
            </c:numRef>
          </c:val>
        </c:ser>
        <c:ser>
          <c:idx val="1"/>
          <c:order val="1"/>
          <c:tx>
            <c:strRef>
              <c:f>板块配置!$C$1</c:f>
              <c:strCache>
                <c:ptCount val="1"/>
                <c:pt idx="0">
                  <c:v>创业板主力净流入额</c:v>
                </c:pt>
              </c:strCache>
            </c:strRef>
          </c:tx>
          <c:marker>
            <c:symbol val="none"/>
          </c:marker>
          <c:cat>
            <c:strRef>
              <c:f>板块配置!$A$2:$A$52</c:f>
              <c:strCache>
                <c:ptCount val="51"/>
                <c:pt idx="0">
                  <c:v>2018-1-5</c:v>
                </c:pt>
                <c:pt idx="1">
                  <c:v>2018-1-12</c:v>
                </c:pt>
                <c:pt idx="2">
                  <c:v>2018-1-19</c:v>
                </c:pt>
                <c:pt idx="3">
                  <c:v>2018-1-26</c:v>
                </c:pt>
                <c:pt idx="4">
                  <c:v>2018-2-2</c:v>
                </c:pt>
                <c:pt idx="5">
                  <c:v>2018-2-9</c:v>
                </c:pt>
                <c:pt idx="6">
                  <c:v>2018-2-16</c:v>
                </c:pt>
                <c:pt idx="7">
                  <c:v>2018-2-23</c:v>
                </c:pt>
                <c:pt idx="8">
                  <c:v>2018-3-2</c:v>
                </c:pt>
                <c:pt idx="9">
                  <c:v>2018-3-9</c:v>
                </c:pt>
                <c:pt idx="10">
                  <c:v>2018-3-16</c:v>
                </c:pt>
                <c:pt idx="11">
                  <c:v>2018-3-23</c:v>
                </c:pt>
                <c:pt idx="12">
                  <c:v>2018-3-30</c:v>
                </c:pt>
                <c:pt idx="13">
                  <c:v>2018-4-6</c:v>
                </c:pt>
                <c:pt idx="14">
                  <c:v>2018-4-13</c:v>
                </c:pt>
                <c:pt idx="15">
                  <c:v>2018-4-20</c:v>
                </c:pt>
                <c:pt idx="16">
                  <c:v>2018-4-27</c:v>
                </c:pt>
                <c:pt idx="17">
                  <c:v>2018-5-4</c:v>
                </c:pt>
                <c:pt idx="18">
                  <c:v>2018-5-11</c:v>
                </c:pt>
                <c:pt idx="19">
                  <c:v>2018-5-18</c:v>
                </c:pt>
                <c:pt idx="20">
                  <c:v>2018-5-25</c:v>
                </c:pt>
                <c:pt idx="21">
                  <c:v>2018-6-1</c:v>
                </c:pt>
                <c:pt idx="22">
                  <c:v>2018-6-8</c:v>
                </c:pt>
                <c:pt idx="23">
                  <c:v>2018-6-15</c:v>
                </c:pt>
                <c:pt idx="24">
                  <c:v>2018-6-22</c:v>
                </c:pt>
                <c:pt idx="25">
                  <c:v>2018-6-29</c:v>
                </c:pt>
                <c:pt idx="26">
                  <c:v>2018-7-6</c:v>
                </c:pt>
                <c:pt idx="27">
                  <c:v>2018-7-13</c:v>
                </c:pt>
                <c:pt idx="28">
                  <c:v>2018-7-20</c:v>
                </c:pt>
                <c:pt idx="29">
                  <c:v>2018-7-27</c:v>
                </c:pt>
                <c:pt idx="30">
                  <c:v>2018-8-3</c:v>
                </c:pt>
                <c:pt idx="31">
                  <c:v>2018-8-10</c:v>
                </c:pt>
                <c:pt idx="32">
                  <c:v>2018-8-17</c:v>
                </c:pt>
                <c:pt idx="33">
                  <c:v>2018-8-24</c:v>
                </c:pt>
                <c:pt idx="34">
                  <c:v>2018-8-31</c:v>
                </c:pt>
                <c:pt idx="35">
                  <c:v>2018-9-7</c:v>
                </c:pt>
                <c:pt idx="36">
                  <c:v>2018-9-14</c:v>
                </c:pt>
                <c:pt idx="37">
                  <c:v>2018-9-21</c:v>
                </c:pt>
                <c:pt idx="38">
                  <c:v>2018-9-28</c:v>
                </c:pt>
                <c:pt idx="39">
                  <c:v>2018-10-12</c:v>
                </c:pt>
                <c:pt idx="40">
                  <c:v>2018-10-19</c:v>
                </c:pt>
                <c:pt idx="41">
                  <c:v>2018-10-26</c:v>
                </c:pt>
                <c:pt idx="42">
                  <c:v>2018-11-2</c:v>
                </c:pt>
                <c:pt idx="43">
                  <c:v>2018-11-9</c:v>
                </c:pt>
                <c:pt idx="44">
                  <c:v>2018-11-16</c:v>
                </c:pt>
                <c:pt idx="45">
                  <c:v>2018-11-23</c:v>
                </c:pt>
                <c:pt idx="46">
                  <c:v>2018-11-30</c:v>
                </c:pt>
                <c:pt idx="47">
                  <c:v>2018-12-07</c:v>
                </c:pt>
                <c:pt idx="48">
                  <c:v>2018-12-14</c:v>
                </c:pt>
                <c:pt idx="49">
                  <c:v>2018-12-21</c:v>
                </c:pt>
                <c:pt idx="50">
                  <c:v>2018-12-28</c:v>
                </c:pt>
              </c:strCache>
            </c:strRef>
          </c:cat>
          <c:val>
            <c:numRef>
              <c:f>板块配置!$C$2:$C$52</c:f>
              <c:numCache>
                <c:formatCode>#,##0.00</c:formatCode>
                <c:ptCount val="51"/>
                <c:pt idx="0">
                  <c:v>-35.723613730000068</c:v>
                </c:pt>
                <c:pt idx="1">
                  <c:v>-125.37814172999995</c:v>
                </c:pt>
                <c:pt idx="2">
                  <c:v>-149.50408282999953</c:v>
                </c:pt>
                <c:pt idx="3">
                  <c:v>-61.73002623999998</c:v>
                </c:pt>
                <c:pt idx="4">
                  <c:v>-233.78780156000019</c:v>
                </c:pt>
                <c:pt idx="5">
                  <c:v>-131.15092242999987</c:v>
                </c:pt>
                <c:pt idx="6">
                  <c:v>-12.649332030000004</c:v>
                </c:pt>
                <c:pt idx="7">
                  <c:v>-12.665850080000007</c:v>
                </c:pt>
                <c:pt idx="8">
                  <c:v>-9.5516135899999934</c:v>
                </c:pt>
                <c:pt idx="9">
                  <c:v>9.2371676300000196</c:v>
                </c:pt>
                <c:pt idx="10">
                  <c:v>-209.31446212000026</c:v>
                </c:pt>
                <c:pt idx="11">
                  <c:v>-201.92812974000009</c:v>
                </c:pt>
                <c:pt idx="12">
                  <c:v>55.444898559999928</c:v>
                </c:pt>
                <c:pt idx="13">
                  <c:v>-164.0208775200006</c:v>
                </c:pt>
                <c:pt idx="14">
                  <c:v>-216.62740762999965</c:v>
                </c:pt>
                <c:pt idx="15">
                  <c:v>-182.20854666999961</c:v>
                </c:pt>
                <c:pt idx="16">
                  <c:v>-154.60788616000053</c:v>
                </c:pt>
                <c:pt idx="17">
                  <c:v>-88.171532109999958</c:v>
                </c:pt>
                <c:pt idx="18">
                  <c:v>-132.72684749000027</c:v>
                </c:pt>
                <c:pt idx="19">
                  <c:v>-147.82557064000019</c:v>
                </c:pt>
                <c:pt idx="20">
                  <c:v>-181.51092446000018</c:v>
                </c:pt>
                <c:pt idx="21">
                  <c:v>-202.85899619000008</c:v>
                </c:pt>
                <c:pt idx="22">
                  <c:v>-123.85197124999998</c:v>
                </c:pt>
                <c:pt idx="23">
                  <c:v>-125.88961110999999</c:v>
                </c:pt>
                <c:pt idx="24">
                  <c:v>-71.45423653999994</c:v>
                </c:pt>
                <c:pt idx="25">
                  <c:v>-12.131348519999996</c:v>
                </c:pt>
                <c:pt idx="26">
                  <c:v>-151.01557889999958</c:v>
                </c:pt>
                <c:pt idx="27">
                  <c:v>-73.6069328399998</c:v>
                </c:pt>
                <c:pt idx="28">
                  <c:v>-128.53414110000017</c:v>
                </c:pt>
                <c:pt idx="29">
                  <c:v>-158.33813753000007</c:v>
                </c:pt>
                <c:pt idx="30">
                  <c:v>-166.71404167000026</c:v>
                </c:pt>
                <c:pt idx="31">
                  <c:v>-29.264072209999945</c:v>
                </c:pt>
                <c:pt idx="32">
                  <c:v>-109.50589201999971</c:v>
                </c:pt>
                <c:pt idx="33">
                  <c:v>-26.359698719999958</c:v>
                </c:pt>
                <c:pt idx="34">
                  <c:v>-68.12925508999993</c:v>
                </c:pt>
                <c:pt idx="35">
                  <c:v>-53.147834860000046</c:v>
                </c:pt>
                <c:pt idx="36">
                  <c:v>-108.85081393999968</c:v>
                </c:pt>
                <c:pt idx="37">
                  <c:v>1.1264858000000106</c:v>
                </c:pt>
                <c:pt idx="38">
                  <c:v>-51.120847780000055</c:v>
                </c:pt>
                <c:pt idx="39">
                  <c:v>-123.18953071000041</c:v>
                </c:pt>
                <c:pt idx="40">
                  <c:v>-25.983507829999979</c:v>
                </c:pt>
                <c:pt idx="41">
                  <c:v>-91.878919270000253</c:v>
                </c:pt>
                <c:pt idx="42">
                  <c:v>61.377254649999955</c:v>
                </c:pt>
                <c:pt idx="43">
                  <c:v>-98.114848260000102</c:v>
                </c:pt>
                <c:pt idx="44">
                  <c:v>23.779218010000047</c:v>
                </c:pt>
                <c:pt idx="45">
                  <c:v>-175.38045319</c:v>
                </c:pt>
                <c:pt idx="46">
                  <c:v>-72.563428990000006</c:v>
                </c:pt>
                <c:pt idx="47">
                  <c:v>-63.785524009999968</c:v>
                </c:pt>
                <c:pt idx="48">
                  <c:v>-91.484620140000388</c:v>
                </c:pt>
                <c:pt idx="49">
                  <c:v>-83.088962869999563</c:v>
                </c:pt>
                <c:pt idx="50">
                  <c:v>-58.659189679999756</c:v>
                </c:pt>
              </c:numCache>
            </c:numRef>
          </c:val>
        </c:ser>
        <c:ser>
          <c:idx val="2"/>
          <c:order val="2"/>
          <c:tx>
            <c:strRef>
              <c:f>板块配置!$D$1</c:f>
              <c:strCache>
                <c:ptCount val="1"/>
                <c:pt idx="0">
                  <c:v>中小板主力净流入额</c:v>
                </c:pt>
              </c:strCache>
            </c:strRef>
          </c:tx>
          <c:marker>
            <c:symbol val="none"/>
          </c:marker>
          <c:cat>
            <c:strRef>
              <c:f>板块配置!$A$2:$A$52</c:f>
              <c:strCache>
                <c:ptCount val="51"/>
                <c:pt idx="0">
                  <c:v>2018-1-5</c:v>
                </c:pt>
                <c:pt idx="1">
                  <c:v>2018-1-12</c:v>
                </c:pt>
                <c:pt idx="2">
                  <c:v>2018-1-19</c:v>
                </c:pt>
                <c:pt idx="3">
                  <c:v>2018-1-26</c:v>
                </c:pt>
                <c:pt idx="4">
                  <c:v>2018-2-2</c:v>
                </c:pt>
                <c:pt idx="5">
                  <c:v>2018-2-9</c:v>
                </c:pt>
                <c:pt idx="6">
                  <c:v>2018-2-16</c:v>
                </c:pt>
                <c:pt idx="7">
                  <c:v>2018-2-23</c:v>
                </c:pt>
                <c:pt idx="8">
                  <c:v>2018-3-2</c:v>
                </c:pt>
                <c:pt idx="9">
                  <c:v>2018-3-9</c:v>
                </c:pt>
                <c:pt idx="10">
                  <c:v>2018-3-16</c:v>
                </c:pt>
                <c:pt idx="11">
                  <c:v>2018-3-23</c:v>
                </c:pt>
                <c:pt idx="12">
                  <c:v>2018-3-30</c:v>
                </c:pt>
                <c:pt idx="13">
                  <c:v>2018-4-6</c:v>
                </c:pt>
                <c:pt idx="14">
                  <c:v>2018-4-13</c:v>
                </c:pt>
                <c:pt idx="15">
                  <c:v>2018-4-20</c:v>
                </c:pt>
                <c:pt idx="16">
                  <c:v>2018-4-27</c:v>
                </c:pt>
                <c:pt idx="17">
                  <c:v>2018-5-4</c:v>
                </c:pt>
                <c:pt idx="18">
                  <c:v>2018-5-11</c:v>
                </c:pt>
                <c:pt idx="19">
                  <c:v>2018-5-18</c:v>
                </c:pt>
                <c:pt idx="20">
                  <c:v>2018-5-25</c:v>
                </c:pt>
                <c:pt idx="21">
                  <c:v>2018-6-1</c:v>
                </c:pt>
                <c:pt idx="22">
                  <c:v>2018-6-8</c:v>
                </c:pt>
                <c:pt idx="23">
                  <c:v>2018-6-15</c:v>
                </c:pt>
                <c:pt idx="24">
                  <c:v>2018-6-22</c:v>
                </c:pt>
                <c:pt idx="25">
                  <c:v>2018-6-29</c:v>
                </c:pt>
                <c:pt idx="26">
                  <c:v>2018-7-6</c:v>
                </c:pt>
                <c:pt idx="27">
                  <c:v>2018-7-13</c:v>
                </c:pt>
                <c:pt idx="28">
                  <c:v>2018-7-20</c:v>
                </c:pt>
                <c:pt idx="29">
                  <c:v>2018-7-27</c:v>
                </c:pt>
                <c:pt idx="30">
                  <c:v>2018-8-3</c:v>
                </c:pt>
                <c:pt idx="31">
                  <c:v>2018-8-10</c:v>
                </c:pt>
                <c:pt idx="32">
                  <c:v>2018-8-17</c:v>
                </c:pt>
                <c:pt idx="33">
                  <c:v>2018-8-24</c:v>
                </c:pt>
                <c:pt idx="34">
                  <c:v>2018-8-31</c:v>
                </c:pt>
                <c:pt idx="35">
                  <c:v>2018-9-7</c:v>
                </c:pt>
                <c:pt idx="36">
                  <c:v>2018-9-14</c:v>
                </c:pt>
                <c:pt idx="37">
                  <c:v>2018-9-21</c:v>
                </c:pt>
                <c:pt idx="38">
                  <c:v>2018-9-28</c:v>
                </c:pt>
                <c:pt idx="39">
                  <c:v>2018-10-12</c:v>
                </c:pt>
                <c:pt idx="40">
                  <c:v>2018-10-19</c:v>
                </c:pt>
                <c:pt idx="41">
                  <c:v>2018-10-26</c:v>
                </c:pt>
                <c:pt idx="42">
                  <c:v>2018-11-2</c:v>
                </c:pt>
                <c:pt idx="43">
                  <c:v>2018-11-9</c:v>
                </c:pt>
                <c:pt idx="44">
                  <c:v>2018-11-16</c:v>
                </c:pt>
                <c:pt idx="45">
                  <c:v>2018-11-23</c:v>
                </c:pt>
                <c:pt idx="46">
                  <c:v>2018-11-30</c:v>
                </c:pt>
                <c:pt idx="47">
                  <c:v>2018-12-07</c:v>
                </c:pt>
                <c:pt idx="48">
                  <c:v>2018-12-14</c:v>
                </c:pt>
                <c:pt idx="49">
                  <c:v>2018-12-21</c:v>
                </c:pt>
                <c:pt idx="50">
                  <c:v>2018-12-28</c:v>
                </c:pt>
              </c:strCache>
            </c:strRef>
          </c:cat>
          <c:val>
            <c:numRef>
              <c:f>板块配置!$D$2:$D$52</c:f>
              <c:numCache>
                <c:formatCode>#,##0.00</c:formatCode>
                <c:ptCount val="51"/>
                <c:pt idx="0">
                  <c:v>-26.841925190000119</c:v>
                </c:pt>
                <c:pt idx="1">
                  <c:v>-213.87541001999992</c:v>
                </c:pt>
                <c:pt idx="2">
                  <c:v>72.907709100000233</c:v>
                </c:pt>
                <c:pt idx="3">
                  <c:v>-82.634142919999817</c:v>
                </c:pt>
                <c:pt idx="4">
                  <c:v>-95.209073070000017</c:v>
                </c:pt>
                <c:pt idx="5">
                  <c:v>-217.82661476999968</c:v>
                </c:pt>
                <c:pt idx="6">
                  <c:v>-103.79289420000019</c:v>
                </c:pt>
                <c:pt idx="7">
                  <c:v>-10.469550610000042</c:v>
                </c:pt>
                <c:pt idx="8">
                  <c:v>-126.70993318000033</c:v>
                </c:pt>
                <c:pt idx="9">
                  <c:v>-73.668173069999781</c:v>
                </c:pt>
                <c:pt idx="10">
                  <c:v>-78.930839940000183</c:v>
                </c:pt>
                <c:pt idx="11">
                  <c:v>-40.234061270000204</c:v>
                </c:pt>
                <c:pt idx="12">
                  <c:v>-140.18948564000002</c:v>
                </c:pt>
                <c:pt idx="13">
                  <c:v>-39.838752329999949</c:v>
                </c:pt>
                <c:pt idx="14">
                  <c:v>-209.25215645000026</c:v>
                </c:pt>
                <c:pt idx="15">
                  <c:v>-121.13224712000009</c:v>
                </c:pt>
                <c:pt idx="16">
                  <c:v>-123.03365431999991</c:v>
                </c:pt>
                <c:pt idx="17">
                  <c:v>-52.393473170000135</c:v>
                </c:pt>
                <c:pt idx="18">
                  <c:v>-168.79807415000008</c:v>
                </c:pt>
                <c:pt idx="19">
                  <c:v>-99.56856209</c:v>
                </c:pt>
                <c:pt idx="20">
                  <c:v>-173.56291049000021</c:v>
                </c:pt>
                <c:pt idx="21">
                  <c:v>-195.40693822000006</c:v>
                </c:pt>
                <c:pt idx="22">
                  <c:v>-120.11140428000006</c:v>
                </c:pt>
                <c:pt idx="23">
                  <c:v>-242.10726663000059</c:v>
                </c:pt>
                <c:pt idx="24">
                  <c:v>-247.34954211999997</c:v>
                </c:pt>
                <c:pt idx="25">
                  <c:v>-155.57702847000004</c:v>
                </c:pt>
                <c:pt idx="26">
                  <c:v>-113.20692288999966</c:v>
                </c:pt>
                <c:pt idx="27">
                  <c:v>-53.83902276000012</c:v>
                </c:pt>
                <c:pt idx="28">
                  <c:v>-206.75096531999981</c:v>
                </c:pt>
                <c:pt idx="29">
                  <c:v>-258.6551349199998</c:v>
                </c:pt>
                <c:pt idx="30">
                  <c:v>-191.86165181000001</c:v>
                </c:pt>
                <c:pt idx="31">
                  <c:v>-152.75772185000017</c:v>
                </c:pt>
                <c:pt idx="32">
                  <c:v>-56.291265129999957</c:v>
                </c:pt>
                <c:pt idx="33">
                  <c:v>-287.46331504999932</c:v>
                </c:pt>
                <c:pt idx="34">
                  <c:v>-239.94800057000026</c:v>
                </c:pt>
                <c:pt idx="35">
                  <c:v>-61.728722580000216</c:v>
                </c:pt>
                <c:pt idx="36">
                  <c:v>-77.025652479999948</c:v>
                </c:pt>
                <c:pt idx="37">
                  <c:v>-1.3810944900000046</c:v>
                </c:pt>
                <c:pt idx="38">
                  <c:v>15.047647149999964</c:v>
                </c:pt>
                <c:pt idx="39">
                  <c:v>-149.33159369000037</c:v>
                </c:pt>
                <c:pt idx="40">
                  <c:v>-284.17884173000027</c:v>
                </c:pt>
                <c:pt idx="41">
                  <c:v>-148.74224413000042</c:v>
                </c:pt>
                <c:pt idx="42">
                  <c:v>-272.91113082000055</c:v>
                </c:pt>
                <c:pt idx="43">
                  <c:v>-189.63700840000021</c:v>
                </c:pt>
                <c:pt idx="44">
                  <c:v>-49.046111439999919</c:v>
                </c:pt>
                <c:pt idx="45">
                  <c:v>-306.75413994999968</c:v>
                </c:pt>
                <c:pt idx="46">
                  <c:v>-115.64274532999981</c:v>
                </c:pt>
                <c:pt idx="47">
                  <c:v>-109.76660659999999</c:v>
                </c:pt>
                <c:pt idx="48">
                  <c:v>-124.47901459999967</c:v>
                </c:pt>
                <c:pt idx="49">
                  <c:v>-148.99740074000007</c:v>
                </c:pt>
                <c:pt idx="50">
                  <c:v>-118.42473514999999</c:v>
                </c:pt>
              </c:numCache>
            </c:numRef>
          </c:val>
        </c:ser>
        <c:marker val="1"/>
        <c:axId val="357701504"/>
        <c:axId val="357734656"/>
      </c:lineChart>
      <c:catAx>
        <c:axId val="357701504"/>
        <c:scaling>
          <c:orientation val="minMax"/>
        </c:scaling>
        <c:axPos val="b"/>
        <c:tickLblPos val="low"/>
        <c:crossAx val="357734656"/>
        <c:crosses val="autoZero"/>
        <c:auto val="1"/>
        <c:lblAlgn val="ctr"/>
        <c:lblOffset val="100"/>
      </c:catAx>
      <c:valAx>
        <c:axId val="357734656"/>
        <c:scaling>
          <c:orientation val="minMax"/>
        </c:scaling>
        <c:axPos val="l"/>
        <c:majorGridlines/>
        <c:numFmt formatCode="#,##0" sourceLinked="0"/>
        <c:tickLblPos val="nextTo"/>
        <c:crossAx val="357701504"/>
        <c:crosses val="autoZero"/>
        <c:crossBetween val="between"/>
      </c:valAx>
    </c:plotArea>
    <c:legend>
      <c:legendPos val="r"/>
      <c:layout>
        <c:manualLayout>
          <c:xMode val="edge"/>
          <c:yMode val="edge"/>
          <c:x val="6.1457001419126529E-2"/>
          <c:y val="1.4422110974147398E-2"/>
          <c:w val="0.9187143379229481"/>
          <c:h val="9.3744167395742664E-2"/>
        </c:manualLayout>
      </c:layout>
      <c:txPr>
        <a:bodyPr/>
        <a:lstStyle/>
        <a:p>
          <a:pPr>
            <a:defRPr>
              <a:latin typeface="楷体" pitchFamily="49" charset="-122"/>
              <a:ea typeface="楷体" pitchFamily="49" charset="-122"/>
            </a:defRPr>
          </a:pPr>
          <a:endParaRPr lang="zh-CN"/>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0707174103237119"/>
          <c:y val="0.13981353077134054"/>
          <c:w val="0.77056474190725888"/>
          <c:h val="0.54398832608610492"/>
        </c:manualLayout>
      </c:layout>
      <c:barChart>
        <c:barDir val="col"/>
        <c:grouping val="clustered"/>
        <c:ser>
          <c:idx val="0"/>
          <c:order val="0"/>
          <c:tx>
            <c:strRef>
              <c:f>万得!$J$2</c:f>
              <c:strCache>
                <c:ptCount val="1"/>
                <c:pt idx="0">
                  <c:v>沪股通成交净买入</c:v>
                </c:pt>
              </c:strCache>
            </c:strRef>
          </c:tx>
          <c:cat>
            <c:strRef>
              <c:f>万得!$A$3:$A$53</c:f>
              <c:strCache>
                <c:ptCount val="51"/>
                <c:pt idx="0">
                  <c:v>2018-1-5</c:v>
                </c:pt>
                <c:pt idx="1">
                  <c:v>2018-1-12</c:v>
                </c:pt>
                <c:pt idx="2">
                  <c:v>2018-1-19</c:v>
                </c:pt>
                <c:pt idx="3">
                  <c:v>2018-1-26</c:v>
                </c:pt>
                <c:pt idx="4">
                  <c:v>2018-2-2</c:v>
                </c:pt>
                <c:pt idx="5">
                  <c:v>2018-2-9</c:v>
                </c:pt>
                <c:pt idx="6">
                  <c:v>2018-2-16</c:v>
                </c:pt>
                <c:pt idx="7">
                  <c:v>2018-2-23</c:v>
                </c:pt>
                <c:pt idx="8">
                  <c:v>2018-3-2</c:v>
                </c:pt>
                <c:pt idx="9">
                  <c:v>2018-3-9</c:v>
                </c:pt>
                <c:pt idx="10">
                  <c:v>2018-3-16</c:v>
                </c:pt>
                <c:pt idx="11">
                  <c:v>2018-3-23</c:v>
                </c:pt>
                <c:pt idx="12">
                  <c:v>2018-3-30</c:v>
                </c:pt>
                <c:pt idx="13">
                  <c:v>2018-4-6</c:v>
                </c:pt>
                <c:pt idx="14">
                  <c:v>2018-4-13</c:v>
                </c:pt>
                <c:pt idx="15">
                  <c:v>2018-4-20</c:v>
                </c:pt>
                <c:pt idx="16">
                  <c:v>2018-4-27</c:v>
                </c:pt>
                <c:pt idx="17">
                  <c:v>2018-5-4</c:v>
                </c:pt>
                <c:pt idx="18">
                  <c:v>2018-5-11</c:v>
                </c:pt>
                <c:pt idx="19">
                  <c:v>2018-5-18</c:v>
                </c:pt>
                <c:pt idx="20">
                  <c:v>2018-5-25</c:v>
                </c:pt>
                <c:pt idx="21">
                  <c:v>2018-6-1</c:v>
                </c:pt>
                <c:pt idx="22">
                  <c:v>2018-6-8</c:v>
                </c:pt>
                <c:pt idx="23">
                  <c:v>2018-6-15</c:v>
                </c:pt>
                <c:pt idx="24">
                  <c:v>2018-6-22</c:v>
                </c:pt>
                <c:pt idx="25">
                  <c:v>2018-6-29</c:v>
                </c:pt>
                <c:pt idx="26">
                  <c:v>2018-7-6</c:v>
                </c:pt>
                <c:pt idx="27">
                  <c:v>2018-7-13</c:v>
                </c:pt>
                <c:pt idx="28">
                  <c:v>2018-7-20</c:v>
                </c:pt>
                <c:pt idx="29">
                  <c:v>2018-7-27</c:v>
                </c:pt>
                <c:pt idx="30">
                  <c:v>2018-8-3</c:v>
                </c:pt>
                <c:pt idx="31">
                  <c:v>2018-8-10</c:v>
                </c:pt>
                <c:pt idx="32">
                  <c:v>2018-8-17</c:v>
                </c:pt>
                <c:pt idx="33">
                  <c:v>2018-8-24</c:v>
                </c:pt>
                <c:pt idx="34">
                  <c:v>2018-8-31</c:v>
                </c:pt>
                <c:pt idx="35">
                  <c:v>2018-9-7</c:v>
                </c:pt>
                <c:pt idx="36">
                  <c:v>2018-9-14</c:v>
                </c:pt>
                <c:pt idx="37">
                  <c:v>2018-9-21</c:v>
                </c:pt>
                <c:pt idx="38">
                  <c:v>2018-9-28</c:v>
                </c:pt>
                <c:pt idx="39">
                  <c:v>2018-10-12</c:v>
                </c:pt>
                <c:pt idx="40">
                  <c:v>2018-10-19</c:v>
                </c:pt>
                <c:pt idx="41">
                  <c:v>2018-10-26</c:v>
                </c:pt>
                <c:pt idx="42">
                  <c:v>2018-11-2</c:v>
                </c:pt>
                <c:pt idx="43">
                  <c:v>2018-11-9</c:v>
                </c:pt>
                <c:pt idx="44">
                  <c:v>2018-11-16</c:v>
                </c:pt>
                <c:pt idx="45">
                  <c:v>2018-11-23</c:v>
                </c:pt>
                <c:pt idx="46">
                  <c:v>2018-11-30</c:v>
                </c:pt>
                <c:pt idx="47">
                  <c:v>2018-12-07</c:v>
                </c:pt>
                <c:pt idx="48">
                  <c:v>2018-12-14</c:v>
                </c:pt>
                <c:pt idx="49">
                  <c:v>2018-12-21</c:v>
                </c:pt>
                <c:pt idx="50">
                  <c:v>2018-12-28</c:v>
                </c:pt>
              </c:strCache>
            </c:strRef>
          </c:cat>
          <c:val>
            <c:numRef>
              <c:f>万得!$J$3:$J$53</c:f>
              <c:numCache>
                <c:formatCode>#,##0.0000</c:formatCode>
                <c:ptCount val="51"/>
                <c:pt idx="0">
                  <c:v>82.481700000000032</c:v>
                </c:pt>
                <c:pt idx="1">
                  <c:v>46.700999999999965</c:v>
                </c:pt>
                <c:pt idx="2">
                  <c:v>1.9686999999999557</c:v>
                </c:pt>
                <c:pt idx="3">
                  <c:v>60.341800000000013</c:v>
                </c:pt>
                <c:pt idx="4">
                  <c:v>-31.907699999999966</c:v>
                </c:pt>
                <c:pt idx="5">
                  <c:v>-120.72899999999998</c:v>
                </c:pt>
                <c:pt idx="6">
                  <c:v>-9.225200000000001</c:v>
                </c:pt>
                <c:pt idx="7">
                  <c:v>22.328199999999981</c:v>
                </c:pt>
                <c:pt idx="8">
                  <c:v>26.060400000000016</c:v>
                </c:pt>
                <c:pt idx="9">
                  <c:v>6.6647999999999543</c:v>
                </c:pt>
                <c:pt idx="10">
                  <c:v>32.170899999999989</c:v>
                </c:pt>
                <c:pt idx="11">
                  <c:v>-16.324899999999985</c:v>
                </c:pt>
                <c:pt idx="12">
                  <c:v>45.4298</c:v>
                </c:pt>
                <c:pt idx="13">
                  <c:v>31.81420000000001</c:v>
                </c:pt>
                <c:pt idx="14">
                  <c:v>75.067300000000017</c:v>
                </c:pt>
                <c:pt idx="15">
                  <c:v>90.762500000000017</c:v>
                </c:pt>
                <c:pt idx="16">
                  <c:v>76.947600000000079</c:v>
                </c:pt>
                <c:pt idx="17">
                  <c:v>23.171599999999984</c:v>
                </c:pt>
                <c:pt idx="18">
                  <c:v>76.962599999999995</c:v>
                </c:pt>
                <c:pt idx="19">
                  <c:v>87.24020000000003</c:v>
                </c:pt>
                <c:pt idx="20">
                  <c:v>29.825500000000002</c:v>
                </c:pt>
                <c:pt idx="21">
                  <c:v>65.650799999999961</c:v>
                </c:pt>
                <c:pt idx="22">
                  <c:v>74.887900000000002</c:v>
                </c:pt>
                <c:pt idx="23">
                  <c:v>85.392899999999983</c:v>
                </c:pt>
                <c:pt idx="24">
                  <c:v>-21.469800000000021</c:v>
                </c:pt>
                <c:pt idx="25">
                  <c:v>12.571699999999971</c:v>
                </c:pt>
                <c:pt idx="26">
                  <c:v>56.729600000000012</c:v>
                </c:pt>
                <c:pt idx="27">
                  <c:v>50.012700000000002</c:v>
                </c:pt>
                <c:pt idx="28">
                  <c:v>15.853999999999996</c:v>
                </c:pt>
                <c:pt idx="29">
                  <c:v>57.351000000000035</c:v>
                </c:pt>
                <c:pt idx="30">
                  <c:v>48.015999999999963</c:v>
                </c:pt>
                <c:pt idx="31">
                  <c:v>74.590400000000002</c:v>
                </c:pt>
                <c:pt idx="32">
                  <c:v>0.66460000000006436</c:v>
                </c:pt>
                <c:pt idx="33">
                  <c:v>78.567400000000021</c:v>
                </c:pt>
                <c:pt idx="34">
                  <c:v>58.595400000000012</c:v>
                </c:pt>
                <c:pt idx="35">
                  <c:v>-8.5426999999999484</c:v>
                </c:pt>
                <c:pt idx="36">
                  <c:v>20.257999999999981</c:v>
                </c:pt>
                <c:pt idx="37">
                  <c:v>56.302600000000005</c:v>
                </c:pt>
                <c:pt idx="38">
                  <c:v>45.097700000000003</c:v>
                </c:pt>
                <c:pt idx="39">
                  <c:v>-126.5962</c:v>
                </c:pt>
                <c:pt idx="40">
                  <c:v>11.87630000000002</c:v>
                </c:pt>
                <c:pt idx="41">
                  <c:v>-22.792299999999933</c:v>
                </c:pt>
                <c:pt idx="42">
                  <c:v>245.75319999999999</c:v>
                </c:pt>
                <c:pt idx="43">
                  <c:v>44.686600000000006</c:v>
                </c:pt>
                <c:pt idx="44">
                  <c:v>43.627100000000063</c:v>
                </c:pt>
                <c:pt idx="45">
                  <c:v>-14.780699999999975</c:v>
                </c:pt>
                <c:pt idx="46">
                  <c:v>85.740300000000005</c:v>
                </c:pt>
                <c:pt idx="47">
                  <c:v>97.418500000000066</c:v>
                </c:pt>
                <c:pt idx="48">
                  <c:v>20.228399999999944</c:v>
                </c:pt>
                <c:pt idx="49">
                  <c:v>-13.849900000000002</c:v>
                </c:pt>
                <c:pt idx="50">
                  <c:v>31.348499999999962</c:v>
                </c:pt>
              </c:numCache>
            </c:numRef>
          </c:val>
        </c:ser>
        <c:axId val="253650048"/>
        <c:axId val="253651584"/>
      </c:barChart>
      <c:lineChart>
        <c:grouping val="standard"/>
        <c:ser>
          <c:idx val="1"/>
          <c:order val="1"/>
          <c:tx>
            <c:strRef>
              <c:f>万得!$K$2</c:f>
              <c:strCache>
                <c:ptCount val="1"/>
                <c:pt idx="0">
                  <c:v>沪股通累计净买入</c:v>
                </c:pt>
              </c:strCache>
            </c:strRef>
          </c:tx>
          <c:marker>
            <c:symbol val="none"/>
          </c:marker>
          <c:cat>
            <c:strRef>
              <c:f>万得!$A$3:$A$53</c:f>
              <c:strCache>
                <c:ptCount val="51"/>
                <c:pt idx="0">
                  <c:v>2018-1-5</c:v>
                </c:pt>
                <c:pt idx="1">
                  <c:v>2018-1-12</c:v>
                </c:pt>
                <c:pt idx="2">
                  <c:v>2018-1-19</c:v>
                </c:pt>
                <c:pt idx="3">
                  <c:v>2018-1-26</c:v>
                </c:pt>
                <c:pt idx="4">
                  <c:v>2018-2-2</c:v>
                </c:pt>
                <c:pt idx="5">
                  <c:v>2018-2-9</c:v>
                </c:pt>
                <c:pt idx="6">
                  <c:v>2018-2-16</c:v>
                </c:pt>
                <c:pt idx="7">
                  <c:v>2018-2-23</c:v>
                </c:pt>
                <c:pt idx="8">
                  <c:v>2018-3-2</c:v>
                </c:pt>
                <c:pt idx="9">
                  <c:v>2018-3-9</c:v>
                </c:pt>
                <c:pt idx="10">
                  <c:v>2018-3-16</c:v>
                </c:pt>
                <c:pt idx="11">
                  <c:v>2018-3-23</c:v>
                </c:pt>
                <c:pt idx="12">
                  <c:v>2018-3-30</c:v>
                </c:pt>
                <c:pt idx="13">
                  <c:v>2018-4-6</c:v>
                </c:pt>
                <c:pt idx="14">
                  <c:v>2018-4-13</c:v>
                </c:pt>
                <c:pt idx="15">
                  <c:v>2018-4-20</c:v>
                </c:pt>
                <c:pt idx="16">
                  <c:v>2018-4-27</c:v>
                </c:pt>
                <c:pt idx="17">
                  <c:v>2018-5-4</c:v>
                </c:pt>
                <c:pt idx="18">
                  <c:v>2018-5-11</c:v>
                </c:pt>
                <c:pt idx="19">
                  <c:v>2018-5-18</c:v>
                </c:pt>
                <c:pt idx="20">
                  <c:v>2018-5-25</c:v>
                </c:pt>
                <c:pt idx="21">
                  <c:v>2018-6-1</c:v>
                </c:pt>
                <c:pt idx="22">
                  <c:v>2018-6-8</c:v>
                </c:pt>
                <c:pt idx="23">
                  <c:v>2018-6-15</c:v>
                </c:pt>
                <c:pt idx="24">
                  <c:v>2018-6-22</c:v>
                </c:pt>
                <c:pt idx="25">
                  <c:v>2018-6-29</c:v>
                </c:pt>
                <c:pt idx="26">
                  <c:v>2018-7-6</c:v>
                </c:pt>
                <c:pt idx="27">
                  <c:v>2018-7-13</c:v>
                </c:pt>
                <c:pt idx="28">
                  <c:v>2018-7-20</c:v>
                </c:pt>
                <c:pt idx="29">
                  <c:v>2018-7-27</c:v>
                </c:pt>
                <c:pt idx="30">
                  <c:v>2018-8-3</c:v>
                </c:pt>
                <c:pt idx="31">
                  <c:v>2018-8-10</c:v>
                </c:pt>
                <c:pt idx="32">
                  <c:v>2018-8-17</c:v>
                </c:pt>
                <c:pt idx="33">
                  <c:v>2018-8-24</c:v>
                </c:pt>
                <c:pt idx="34">
                  <c:v>2018-8-31</c:v>
                </c:pt>
                <c:pt idx="35">
                  <c:v>2018-9-7</c:v>
                </c:pt>
                <c:pt idx="36">
                  <c:v>2018-9-14</c:v>
                </c:pt>
                <c:pt idx="37">
                  <c:v>2018-9-21</c:v>
                </c:pt>
                <c:pt idx="38">
                  <c:v>2018-9-28</c:v>
                </c:pt>
                <c:pt idx="39">
                  <c:v>2018-10-12</c:v>
                </c:pt>
                <c:pt idx="40">
                  <c:v>2018-10-19</c:v>
                </c:pt>
                <c:pt idx="41">
                  <c:v>2018-10-26</c:v>
                </c:pt>
                <c:pt idx="42">
                  <c:v>2018-11-2</c:v>
                </c:pt>
                <c:pt idx="43">
                  <c:v>2018-11-9</c:v>
                </c:pt>
                <c:pt idx="44">
                  <c:v>2018-11-16</c:v>
                </c:pt>
                <c:pt idx="45">
                  <c:v>2018-11-23</c:v>
                </c:pt>
                <c:pt idx="46">
                  <c:v>2018-11-30</c:v>
                </c:pt>
                <c:pt idx="47">
                  <c:v>2018-12-07</c:v>
                </c:pt>
                <c:pt idx="48">
                  <c:v>2018-12-14</c:v>
                </c:pt>
                <c:pt idx="49">
                  <c:v>2018-12-21</c:v>
                </c:pt>
                <c:pt idx="50">
                  <c:v>2018-12-28</c:v>
                </c:pt>
              </c:strCache>
            </c:strRef>
          </c:cat>
          <c:val>
            <c:numRef>
              <c:f>万得!$K$3:$K$53</c:f>
              <c:numCache>
                <c:formatCode>#,##0.0000</c:formatCode>
                <c:ptCount val="51"/>
                <c:pt idx="0">
                  <c:v>2038.3147999999997</c:v>
                </c:pt>
                <c:pt idx="1">
                  <c:v>2085.0158000000001</c:v>
                </c:pt>
                <c:pt idx="2">
                  <c:v>2086.9844999999987</c:v>
                </c:pt>
                <c:pt idx="3">
                  <c:v>2147.3262999999997</c:v>
                </c:pt>
                <c:pt idx="4">
                  <c:v>2115.4186</c:v>
                </c:pt>
                <c:pt idx="5">
                  <c:v>1994.6895999999999</c:v>
                </c:pt>
                <c:pt idx="6">
                  <c:v>1985.4643999999998</c:v>
                </c:pt>
                <c:pt idx="7">
                  <c:v>2007.7926</c:v>
                </c:pt>
                <c:pt idx="8">
                  <c:v>2033.8529999999998</c:v>
                </c:pt>
                <c:pt idx="9">
                  <c:v>2040.5178000000001</c:v>
                </c:pt>
                <c:pt idx="10">
                  <c:v>2072.6886999999979</c:v>
                </c:pt>
                <c:pt idx="11">
                  <c:v>2056.3637999999996</c:v>
                </c:pt>
                <c:pt idx="12">
                  <c:v>2101.7935999999995</c:v>
                </c:pt>
                <c:pt idx="13">
                  <c:v>2133.6077999999993</c:v>
                </c:pt>
                <c:pt idx="14">
                  <c:v>2208.6750999999995</c:v>
                </c:pt>
                <c:pt idx="15">
                  <c:v>2299.4376000000002</c:v>
                </c:pt>
                <c:pt idx="16">
                  <c:v>2376.3852000000002</c:v>
                </c:pt>
                <c:pt idx="17">
                  <c:v>2399.5567999999994</c:v>
                </c:pt>
                <c:pt idx="18">
                  <c:v>2476.5193999999992</c:v>
                </c:pt>
                <c:pt idx="19">
                  <c:v>2563.7595999999994</c:v>
                </c:pt>
                <c:pt idx="20">
                  <c:v>2593.5850999999993</c:v>
                </c:pt>
                <c:pt idx="21">
                  <c:v>2659.2358999999988</c:v>
                </c:pt>
                <c:pt idx="22">
                  <c:v>2734.1237999999994</c:v>
                </c:pt>
                <c:pt idx="23">
                  <c:v>2819.5166999999988</c:v>
                </c:pt>
                <c:pt idx="24">
                  <c:v>2798.046899999998</c:v>
                </c:pt>
                <c:pt idx="25">
                  <c:v>2810.6185999999993</c:v>
                </c:pt>
                <c:pt idx="26">
                  <c:v>2867.3481999999995</c:v>
                </c:pt>
                <c:pt idx="27">
                  <c:v>2917.3608999999997</c:v>
                </c:pt>
                <c:pt idx="28">
                  <c:v>2933.2148999999981</c:v>
                </c:pt>
                <c:pt idx="29">
                  <c:v>2990.5658999999987</c:v>
                </c:pt>
                <c:pt idx="30">
                  <c:v>3038.5818999999997</c:v>
                </c:pt>
                <c:pt idx="31">
                  <c:v>3113.1722999999997</c:v>
                </c:pt>
                <c:pt idx="32">
                  <c:v>3113.8368999999998</c:v>
                </c:pt>
                <c:pt idx="33">
                  <c:v>3192.4042999999997</c:v>
                </c:pt>
                <c:pt idx="34">
                  <c:v>3250.9996999999998</c:v>
                </c:pt>
                <c:pt idx="35">
                  <c:v>3242.4569999999999</c:v>
                </c:pt>
                <c:pt idx="36">
                  <c:v>3262.7149999999997</c:v>
                </c:pt>
                <c:pt idx="37">
                  <c:v>3319.0176000000001</c:v>
                </c:pt>
                <c:pt idx="38">
                  <c:v>3364.1152999999995</c:v>
                </c:pt>
                <c:pt idx="39">
                  <c:v>3237.5190999999995</c:v>
                </c:pt>
                <c:pt idx="40">
                  <c:v>3249.3954000000008</c:v>
                </c:pt>
                <c:pt idx="41">
                  <c:v>3226.6030999999994</c:v>
                </c:pt>
                <c:pt idx="42">
                  <c:v>3472.3562999999995</c:v>
                </c:pt>
                <c:pt idx="43">
                  <c:v>3517.0428999999981</c:v>
                </c:pt>
                <c:pt idx="44">
                  <c:v>3560.6699999999987</c:v>
                </c:pt>
                <c:pt idx="45">
                  <c:v>3545.8892999999994</c:v>
                </c:pt>
                <c:pt idx="46">
                  <c:v>3631.6295999999993</c:v>
                </c:pt>
                <c:pt idx="47">
                  <c:v>3729.0480999999982</c:v>
                </c:pt>
                <c:pt idx="48">
                  <c:v>3749.2764999999981</c:v>
                </c:pt>
                <c:pt idx="49">
                  <c:v>3735.4265999999993</c:v>
                </c:pt>
                <c:pt idx="50">
                  <c:v>3766.7750999999994</c:v>
                </c:pt>
              </c:numCache>
            </c:numRef>
          </c:val>
        </c:ser>
        <c:marker val="1"/>
        <c:axId val="255215488"/>
        <c:axId val="255213952"/>
      </c:lineChart>
      <c:catAx>
        <c:axId val="253650048"/>
        <c:scaling>
          <c:orientation val="minMax"/>
        </c:scaling>
        <c:axPos val="b"/>
        <c:tickLblPos val="low"/>
        <c:txPr>
          <a:bodyPr/>
          <a:lstStyle/>
          <a:p>
            <a:pPr>
              <a:defRPr sz="600"/>
            </a:pPr>
            <a:endParaRPr lang="zh-CN"/>
          </a:p>
        </c:txPr>
        <c:crossAx val="253651584"/>
        <c:crosses val="autoZero"/>
        <c:auto val="1"/>
        <c:lblAlgn val="ctr"/>
        <c:lblOffset val="100"/>
      </c:catAx>
      <c:valAx>
        <c:axId val="253651584"/>
        <c:scaling>
          <c:orientation val="minMax"/>
        </c:scaling>
        <c:axPos val="l"/>
        <c:majorGridlines/>
        <c:numFmt formatCode="#,##0" sourceLinked="0"/>
        <c:tickLblPos val="nextTo"/>
        <c:txPr>
          <a:bodyPr/>
          <a:lstStyle/>
          <a:p>
            <a:pPr>
              <a:defRPr sz="600"/>
            </a:pPr>
            <a:endParaRPr lang="zh-CN"/>
          </a:p>
        </c:txPr>
        <c:crossAx val="253650048"/>
        <c:crosses val="autoZero"/>
        <c:crossBetween val="between"/>
      </c:valAx>
      <c:valAx>
        <c:axId val="255213952"/>
        <c:scaling>
          <c:orientation val="minMax"/>
        </c:scaling>
        <c:axPos val="r"/>
        <c:numFmt formatCode="#,##0" sourceLinked="0"/>
        <c:tickLblPos val="nextTo"/>
        <c:txPr>
          <a:bodyPr/>
          <a:lstStyle/>
          <a:p>
            <a:pPr>
              <a:defRPr sz="600"/>
            </a:pPr>
            <a:endParaRPr lang="zh-CN"/>
          </a:p>
        </c:txPr>
        <c:crossAx val="255215488"/>
        <c:crosses val="max"/>
        <c:crossBetween val="between"/>
      </c:valAx>
      <c:catAx>
        <c:axId val="255215488"/>
        <c:scaling>
          <c:orientation val="minMax"/>
        </c:scaling>
        <c:delete val="1"/>
        <c:axPos val="b"/>
        <c:tickLblPos val="nextTo"/>
        <c:crossAx val="255213952"/>
        <c:crosses val="autoZero"/>
        <c:auto val="1"/>
        <c:lblAlgn val="ctr"/>
        <c:lblOffset val="100"/>
      </c:catAx>
    </c:plotArea>
    <c:legend>
      <c:legendPos val="r"/>
      <c:layout>
        <c:manualLayout>
          <c:xMode val="edge"/>
          <c:yMode val="edge"/>
          <c:x val="6.5420289397693024E-2"/>
          <c:y val="2.7393739961609282E-2"/>
          <c:w val="0.86185063039464793"/>
          <c:h val="5.7843459866024224E-2"/>
        </c:manualLayout>
      </c:layout>
      <c:txPr>
        <a:bodyPr/>
        <a:lstStyle/>
        <a:p>
          <a:pPr>
            <a:defRPr sz="700" b="1">
              <a:latin typeface="楷体" pitchFamily="49" charset="-122"/>
              <a:ea typeface="楷体" pitchFamily="49" charset="-122"/>
            </a:defRPr>
          </a:pPr>
          <a:endParaRPr lang="zh-CN"/>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0914129483814522"/>
          <c:y val="0.13877787498784872"/>
          <c:w val="0.77459251968503962"/>
          <c:h val="0.54736619033731715"/>
        </c:manualLayout>
      </c:layout>
      <c:barChart>
        <c:barDir val="col"/>
        <c:grouping val="clustered"/>
        <c:ser>
          <c:idx val="0"/>
          <c:order val="0"/>
          <c:tx>
            <c:strRef>
              <c:f>万得!$O$2</c:f>
              <c:strCache>
                <c:ptCount val="1"/>
                <c:pt idx="0">
                  <c:v>深股通成交净买入</c:v>
                </c:pt>
              </c:strCache>
            </c:strRef>
          </c:tx>
          <c:cat>
            <c:strRef>
              <c:f>万得!$A$3:$A$53</c:f>
              <c:strCache>
                <c:ptCount val="51"/>
                <c:pt idx="0">
                  <c:v>2018-1-5</c:v>
                </c:pt>
                <c:pt idx="1">
                  <c:v>2018-1-12</c:v>
                </c:pt>
                <c:pt idx="2">
                  <c:v>2018-1-19</c:v>
                </c:pt>
                <c:pt idx="3">
                  <c:v>2018-1-26</c:v>
                </c:pt>
                <c:pt idx="4">
                  <c:v>2018-2-2</c:v>
                </c:pt>
                <c:pt idx="5">
                  <c:v>2018-2-9</c:v>
                </c:pt>
                <c:pt idx="6">
                  <c:v>2018-2-16</c:v>
                </c:pt>
                <c:pt idx="7">
                  <c:v>2018-2-23</c:v>
                </c:pt>
                <c:pt idx="8">
                  <c:v>2018-3-2</c:v>
                </c:pt>
                <c:pt idx="9">
                  <c:v>2018-3-9</c:v>
                </c:pt>
                <c:pt idx="10">
                  <c:v>2018-3-16</c:v>
                </c:pt>
                <c:pt idx="11">
                  <c:v>2018-3-23</c:v>
                </c:pt>
                <c:pt idx="12">
                  <c:v>2018-3-30</c:v>
                </c:pt>
                <c:pt idx="13">
                  <c:v>2018-4-6</c:v>
                </c:pt>
                <c:pt idx="14">
                  <c:v>2018-4-13</c:v>
                </c:pt>
                <c:pt idx="15">
                  <c:v>2018-4-20</c:v>
                </c:pt>
                <c:pt idx="16">
                  <c:v>2018-4-27</c:v>
                </c:pt>
                <c:pt idx="17">
                  <c:v>2018-5-4</c:v>
                </c:pt>
                <c:pt idx="18">
                  <c:v>2018-5-11</c:v>
                </c:pt>
                <c:pt idx="19">
                  <c:v>2018-5-18</c:v>
                </c:pt>
                <c:pt idx="20">
                  <c:v>2018-5-25</c:v>
                </c:pt>
                <c:pt idx="21">
                  <c:v>2018-6-1</c:v>
                </c:pt>
                <c:pt idx="22">
                  <c:v>2018-6-8</c:v>
                </c:pt>
                <c:pt idx="23">
                  <c:v>2018-6-15</c:v>
                </c:pt>
                <c:pt idx="24">
                  <c:v>2018-6-22</c:v>
                </c:pt>
                <c:pt idx="25">
                  <c:v>2018-6-29</c:v>
                </c:pt>
                <c:pt idx="26">
                  <c:v>2018-7-6</c:v>
                </c:pt>
                <c:pt idx="27">
                  <c:v>2018-7-13</c:v>
                </c:pt>
                <c:pt idx="28">
                  <c:v>2018-7-20</c:v>
                </c:pt>
                <c:pt idx="29">
                  <c:v>2018-7-27</c:v>
                </c:pt>
                <c:pt idx="30">
                  <c:v>2018-8-3</c:v>
                </c:pt>
                <c:pt idx="31">
                  <c:v>2018-8-10</c:v>
                </c:pt>
                <c:pt idx="32">
                  <c:v>2018-8-17</c:v>
                </c:pt>
                <c:pt idx="33">
                  <c:v>2018-8-24</c:v>
                </c:pt>
                <c:pt idx="34">
                  <c:v>2018-8-31</c:v>
                </c:pt>
                <c:pt idx="35">
                  <c:v>2018-9-7</c:v>
                </c:pt>
                <c:pt idx="36">
                  <c:v>2018-9-14</c:v>
                </c:pt>
                <c:pt idx="37">
                  <c:v>2018-9-21</c:v>
                </c:pt>
                <c:pt idx="38">
                  <c:v>2018-9-28</c:v>
                </c:pt>
                <c:pt idx="39">
                  <c:v>2018-10-12</c:v>
                </c:pt>
                <c:pt idx="40">
                  <c:v>2018-10-19</c:v>
                </c:pt>
                <c:pt idx="41">
                  <c:v>2018-10-26</c:v>
                </c:pt>
                <c:pt idx="42">
                  <c:v>2018-11-2</c:v>
                </c:pt>
                <c:pt idx="43">
                  <c:v>2018-11-9</c:v>
                </c:pt>
                <c:pt idx="44">
                  <c:v>2018-11-16</c:v>
                </c:pt>
                <c:pt idx="45">
                  <c:v>2018-11-23</c:v>
                </c:pt>
                <c:pt idx="46">
                  <c:v>2018-11-30</c:v>
                </c:pt>
                <c:pt idx="47">
                  <c:v>2018-12-07</c:v>
                </c:pt>
                <c:pt idx="48">
                  <c:v>2018-12-14</c:v>
                </c:pt>
                <c:pt idx="49">
                  <c:v>2018-12-21</c:v>
                </c:pt>
                <c:pt idx="50">
                  <c:v>2018-12-28</c:v>
                </c:pt>
              </c:strCache>
            </c:strRef>
          </c:cat>
          <c:val>
            <c:numRef>
              <c:f>万得!$O$3:$O$53</c:f>
              <c:numCache>
                <c:formatCode>#,##0.0000</c:formatCode>
                <c:ptCount val="51"/>
                <c:pt idx="0">
                  <c:v>62.92140000000002</c:v>
                </c:pt>
                <c:pt idx="1">
                  <c:v>36.252499999999969</c:v>
                </c:pt>
                <c:pt idx="2">
                  <c:v>23.617999999999977</c:v>
                </c:pt>
                <c:pt idx="3">
                  <c:v>41.528800000000018</c:v>
                </c:pt>
                <c:pt idx="4">
                  <c:v>28.369899999999973</c:v>
                </c:pt>
                <c:pt idx="5">
                  <c:v>8.0024000000000228</c:v>
                </c:pt>
                <c:pt idx="6">
                  <c:v>-0.59480000000000643</c:v>
                </c:pt>
                <c:pt idx="7">
                  <c:v>19.172600000000003</c:v>
                </c:pt>
                <c:pt idx="8">
                  <c:v>29.075400000000002</c:v>
                </c:pt>
                <c:pt idx="9">
                  <c:v>5.984499999999997</c:v>
                </c:pt>
                <c:pt idx="10">
                  <c:v>2.9413999999999874</c:v>
                </c:pt>
                <c:pt idx="11">
                  <c:v>8.0897000000000006</c:v>
                </c:pt>
                <c:pt idx="12">
                  <c:v>10.586100000000016</c:v>
                </c:pt>
                <c:pt idx="13">
                  <c:v>11.364400000000009</c:v>
                </c:pt>
                <c:pt idx="14">
                  <c:v>51.86960000000002</c:v>
                </c:pt>
                <c:pt idx="15">
                  <c:v>55.468900000000019</c:v>
                </c:pt>
                <c:pt idx="16">
                  <c:v>-6.7900999999999954</c:v>
                </c:pt>
                <c:pt idx="17">
                  <c:v>13.264699999999976</c:v>
                </c:pt>
                <c:pt idx="18">
                  <c:v>46.983200000000004</c:v>
                </c:pt>
                <c:pt idx="19">
                  <c:v>74.189599999999984</c:v>
                </c:pt>
                <c:pt idx="20">
                  <c:v>33.317099999999996</c:v>
                </c:pt>
                <c:pt idx="21">
                  <c:v>79.836500000000029</c:v>
                </c:pt>
                <c:pt idx="22">
                  <c:v>92.25139999999999</c:v>
                </c:pt>
                <c:pt idx="23">
                  <c:v>50.651599999999995</c:v>
                </c:pt>
                <c:pt idx="24">
                  <c:v>-0.10439999999999819</c:v>
                </c:pt>
                <c:pt idx="25">
                  <c:v>-31.189799999999952</c:v>
                </c:pt>
                <c:pt idx="26">
                  <c:v>-1.11529999999999</c:v>
                </c:pt>
                <c:pt idx="27">
                  <c:v>16.670500000000004</c:v>
                </c:pt>
                <c:pt idx="28">
                  <c:v>21.530700000000024</c:v>
                </c:pt>
                <c:pt idx="29">
                  <c:v>13.287000000000003</c:v>
                </c:pt>
                <c:pt idx="30">
                  <c:v>24.540299999999963</c:v>
                </c:pt>
                <c:pt idx="31">
                  <c:v>55.15870000000001</c:v>
                </c:pt>
                <c:pt idx="32">
                  <c:v>-9.7183999999999688</c:v>
                </c:pt>
                <c:pt idx="33">
                  <c:v>37.003800000000005</c:v>
                </c:pt>
                <c:pt idx="34">
                  <c:v>41.543200000000006</c:v>
                </c:pt>
                <c:pt idx="35">
                  <c:v>-4.900000000020558E-3</c:v>
                </c:pt>
                <c:pt idx="36">
                  <c:v>18.294600000000028</c:v>
                </c:pt>
                <c:pt idx="37">
                  <c:v>25.545899999999989</c:v>
                </c:pt>
                <c:pt idx="38">
                  <c:v>18.836600000000018</c:v>
                </c:pt>
                <c:pt idx="39">
                  <c:v>-43.08189999999999</c:v>
                </c:pt>
                <c:pt idx="40">
                  <c:v>13.962900000000024</c:v>
                </c:pt>
                <c:pt idx="41">
                  <c:v>-26.321499999999986</c:v>
                </c:pt>
                <c:pt idx="42">
                  <c:v>100.5842</c:v>
                </c:pt>
                <c:pt idx="43">
                  <c:v>6.5272999999999683</c:v>
                </c:pt>
                <c:pt idx="44">
                  <c:v>27.736500000000007</c:v>
                </c:pt>
                <c:pt idx="45">
                  <c:v>-7.1961999999999762</c:v>
                </c:pt>
                <c:pt idx="46">
                  <c:v>24.113399999999984</c:v>
                </c:pt>
                <c:pt idx="47">
                  <c:v>28.401699999999966</c:v>
                </c:pt>
                <c:pt idx="48">
                  <c:v>26.851900000000011</c:v>
                </c:pt>
                <c:pt idx="49">
                  <c:v>-25.25869999999999</c:v>
                </c:pt>
                <c:pt idx="50">
                  <c:v>-3.7158999999999907</c:v>
                </c:pt>
              </c:numCache>
            </c:numRef>
          </c:val>
        </c:ser>
        <c:axId val="278428672"/>
        <c:axId val="279171840"/>
      </c:barChart>
      <c:lineChart>
        <c:grouping val="standard"/>
        <c:ser>
          <c:idx val="1"/>
          <c:order val="1"/>
          <c:tx>
            <c:strRef>
              <c:f>万得!$P$2</c:f>
              <c:strCache>
                <c:ptCount val="1"/>
                <c:pt idx="0">
                  <c:v>深股通累计净买入</c:v>
                </c:pt>
              </c:strCache>
            </c:strRef>
          </c:tx>
          <c:marker>
            <c:symbol val="none"/>
          </c:marker>
          <c:cat>
            <c:strRef>
              <c:f>万得!$A$3:$A$53</c:f>
              <c:strCache>
                <c:ptCount val="51"/>
                <c:pt idx="0">
                  <c:v>2018-1-5</c:v>
                </c:pt>
                <c:pt idx="1">
                  <c:v>2018-1-12</c:v>
                </c:pt>
                <c:pt idx="2">
                  <c:v>2018-1-19</c:v>
                </c:pt>
                <c:pt idx="3">
                  <c:v>2018-1-26</c:v>
                </c:pt>
                <c:pt idx="4">
                  <c:v>2018-2-2</c:v>
                </c:pt>
                <c:pt idx="5">
                  <c:v>2018-2-9</c:v>
                </c:pt>
                <c:pt idx="6">
                  <c:v>2018-2-16</c:v>
                </c:pt>
                <c:pt idx="7">
                  <c:v>2018-2-23</c:v>
                </c:pt>
                <c:pt idx="8">
                  <c:v>2018-3-2</c:v>
                </c:pt>
                <c:pt idx="9">
                  <c:v>2018-3-9</c:v>
                </c:pt>
                <c:pt idx="10">
                  <c:v>2018-3-16</c:v>
                </c:pt>
                <c:pt idx="11">
                  <c:v>2018-3-23</c:v>
                </c:pt>
                <c:pt idx="12">
                  <c:v>2018-3-30</c:v>
                </c:pt>
                <c:pt idx="13">
                  <c:v>2018-4-6</c:v>
                </c:pt>
                <c:pt idx="14">
                  <c:v>2018-4-13</c:v>
                </c:pt>
                <c:pt idx="15">
                  <c:v>2018-4-20</c:v>
                </c:pt>
                <c:pt idx="16">
                  <c:v>2018-4-27</c:v>
                </c:pt>
                <c:pt idx="17">
                  <c:v>2018-5-4</c:v>
                </c:pt>
                <c:pt idx="18">
                  <c:v>2018-5-11</c:v>
                </c:pt>
                <c:pt idx="19">
                  <c:v>2018-5-18</c:v>
                </c:pt>
                <c:pt idx="20">
                  <c:v>2018-5-25</c:v>
                </c:pt>
                <c:pt idx="21">
                  <c:v>2018-6-1</c:v>
                </c:pt>
                <c:pt idx="22">
                  <c:v>2018-6-8</c:v>
                </c:pt>
                <c:pt idx="23">
                  <c:v>2018-6-15</c:v>
                </c:pt>
                <c:pt idx="24">
                  <c:v>2018-6-22</c:v>
                </c:pt>
                <c:pt idx="25">
                  <c:v>2018-6-29</c:v>
                </c:pt>
                <c:pt idx="26">
                  <c:v>2018-7-6</c:v>
                </c:pt>
                <c:pt idx="27">
                  <c:v>2018-7-13</c:v>
                </c:pt>
                <c:pt idx="28">
                  <c:v>2018-7-20</c:v>
                </c:pt>
                <c:pt idx="29">
                  <c:v>2018-7-27</c:v>
                </c:pt>
                <c:pt idx="30">
                  <c:v>2018-8-3</c:v>
                </c:pt>
                <c:pt idx="31">
                  <c:v>2018-8-10</c:v>
                </c:pt>
                <c:pt idx="32">
                  <c:v>2018-8-17</c:v>
                </c:pt>
                <c:pt idx="33">
                  <c:v>2018-8-24</c:v>
                </c:pt>
                <c:pt idx="34">
                  <c:v>2018-8-31</c:v>
                </c:pt>
                <c:pt idx="35">
                  <c:v>2018-9-7</c:v>
                </c:pt>
                <c:pt idx="36">
                  <c:v>2018-9-14</c:v>
                </c:pt>
                <c:pt idx="37">
                  <c:v>2018-9-21</c:v>
                </c:pt>
                <c:pt idx="38">
                  <c:v>2018-9-28</c:v>
                </c:pt>
                <c:pt idx="39">
                  <c:v>2018-10-12</c:v>
                </c:pt>
                <c:pt idx="40">
                  <c:v>2018-10-19</c:v>
                </c:pt>
                <c:pt idx="41">
                  <c:v>2018-10-26</c:v>
                </c:pt>
                <c:pt idx="42">
                  <c:v>2018-11-2</c:v>
                </c:pt>
                <c:pt idx="43">
                  <c:v>2018-11-9</c:v>
                </c:pt>
                <c:pt idx="44">
                  <c:v>2018-11-16</c:v>
                </c:pt>
                <c:pt idx="45">
                  <c:v>2018-11-23</c:v>
                </c:pt>
                <c:pt idx="46">
                  <c:v>2018-11-30</c:v>
                </c:pt>
                <c:pt idx="47">
                  <c:v>2018-12-07</c:v>
                </c:pt>
                <c:pt idx="48">
                  <c:v>2018-12-14</c:v>
                </c:pt>
                <c:pt idx="49">
                  <c:v>2018-12-21</c:v>
                </c:pt>
                <c:pt idx="50">
                  <c:v>2018-12-28</c:v>
                </c:pt>
              </c:strCache>
            </c:strRef>
          </c:cat>
          <c:val>
            <c:numRef>
              <c:f>万得!$P$3:$P$53</c:f>
              <c:numCache>
                <c:formatCode>#,##0.0000</c:formatCode>
                <c:ptCount val="51"/>
                <c:pt idx="0">
                  <c:v>1582.2478000000001</c:v>
                </c:pt>
                <c:pt idx="1">
                  <c:v>1618.5002999999997</c:v>
                </c:pt>
                <c:pt idx="2">
                  <c:v>1642.1182999999996</c:v>
                </c:pt>
                <c:pt idx="3">
                  <c:v>1683.6470999999997</c:v>
                </c:pt>
                <c:pt idx="4">
                  <c:v>1712.0170000000001</c:v>
                </c:pt>
                <c:pt idx="5">
                  <c:v>1720.0193999999997</c:v>
                </c:pt>
                <c:pt idx="6">
                  <c:v>1719.4246000000001</c:v>
                </c:pt>
                <c:pt idx="7">
                  <c:v>1738.5971999999997</c:v>
                </c:pt>
                <c:pt idx="8">
                  <c:v>1767.6725999999996</c:v>
                </c:pt>
                <c:pt idx="9">
                  <c:v>1773.6570999999997</c:v>
                </c:pt>
                <c:pt idx="10">
                  <c:v>1776.5984999999996</c:v>
                </c:pt>
                <c:pt idx="11">
                  <c:v>1784.6881999999996</c:v>
                </c:pt>
                <c:pt idx="12">
                  <c:v>1795.2742999999996</c:v>
                </c:pt>
                <c:pt idx="13">
                  <c:v>1806.6386999999995</c:v>
                </c:pt>
                <c:pt idx="14">
                  <c:v>1858.5082999999995</c:v>
                </c:pt>
                <c:pt idx="15">
                  <c:v>1913.9772</c:v>
                </c:pt>
                <c:pt idx="16">
                  <c:v>1907.1870999999996</c:v>
                </c:pt>
                <c:pt idx="17">
                  <c:v>1920.4518</c:v>
                </c:pt>
                <c:pt idx="18">
                  <c:v>1967.4349999999995</c:v>
                </c:pt>
                <c:pt idx="19">
                  <c:v>2041.6245999999994</c:v>
                </c:pt>
                <c:pt idx="20">
                  <c:v>2074.9416999999994</c:v>
                </c:pt>
                <c:pt idx="21">
                  <c:v>2154.7781999999993</c:v>
                </c:pt>
                <c:pt idx="22">
                  <c:v>2247.0295999999994</c:v>
                </c:pt>
                <c:pt idx="23">
                  <c:v>2297.6811999999995</c:v>
                </c:pt>
                <c:pt idx="24">
                  <c:v>2297.5767999999994</c:v>
                </c:pt>
                <c:pt idx="25">
                  <c:v>2266.3869999999993</c:v>
                </c:pt>
                <c:pt idx="26">
                  <c:v>2265.2716999999993</c:v>
                </c:pt>
                <c:pt idx="27">
                  <c:v>2281.9421999999995</c:v>
                </c:pt>
                <c:pt idx="28">
                  <c:v>2303.4728999999998</c:v>
                </c:pt>
                <c:pt idx="29">
                  <c:v>2316.7598999999987</c:v>
                </c:pt>
                <c:pt idx="30">
                  <c:v>2341.3002000000001</c:v>
                </c:pt>
                <c:pt idx="31">
                  <c:v>2396.4588999999987</c:v>
                </c:pt>
                <c:pt idx="32">
                  <c:v>2386.7404999999985</c:v>
                </c:pt>
                <c:pt idx="33">
                  <c:v>2423.7442999999985</c:v>
                </c:pt>
                <c:pt idx="34">
                  <c:v>2465.2874999999985</c:v>
                </c:pt>
                <c:pt idx="35">
                  <c:v>2465.2825999999986</c:v>
                </c:pt>
                <c:pt idx="36">
                  <c:v>2483.5772000000002</c:v>
                </c:pt>
                <c:pt idx="37">
                  <c:v>2509.1231000000002</c:v>
                </c:pt>
                <c:pt idx="38">
                  <c:v>2527.9597000000012</c:v>
                </c:pt>
                <c:pt idx="39">
                  <c:v>2484.8778000000002</c:v>
                </c:pt>
                <c:pt idx="40">
                  <c:v>2498.8407000000002</c:v>
                </c:pt>
                <c:pt idx="41">
                  <c:v>2472.5192000000002</c:v>
                </c:pt>
                <c:pt idx="42">
                  <c:v>2573.1034</c:v>
                </c:pt>
                <c:pt idx="43">
                  <c:v>2579.6306999999997</c:v>
                </c:pt>
                <c:pt idx="44">
                  <c:v>2607.3672000000001</c:v>
                </c:pt>
                <c:pt idx="45">
                  <c:v>2600.1709999999994</c:v>
                </c:pt>
                <c:pt idx="46">
                  <c:v>2624.2843999999982</c:v>
                </c:pt>
                <c:pt idx="47">
                  <c:v>2652.6860999999967</c:v>
                </c:pt>
                <c:pt idx="48">
                  <c:v>2679.5379999999986</c:v>
                </c:pt>
                <c:pt idx="49">
                  <c:v>2654.2792999999988</c:v>
                </c:pt>
                <c:pt idx="50">
                  <c:v>2650.5633999999986</c:v>
                </c:pt>
              </c:numCache>
            </c:numRef>
          </c:val>
        </c:ser>
        <c:marker val="1"/>
        <c:axId val="284246016"/>
        <c:axId val="279173376"/>
      </c:lineChart>
      <c:catAx>
        <c:axId val="278428672"/>
        <c:scaling>
          <c:orientation val="minMax"/>
        </c:scaling>
        <c:axPos val="b"/>
        <c:tickLblPos val="low"/>
        <c:txPr>
          <a:bodyPr/>
          <a:lstStyle/>
          <a:p>
            <a:pPr>
              <a:defRPr sz="600"/>
            </a:pPr>
            <a:endParaRPr lang="zh-CN"/>
          </a:p>
        </c:txPr>
        <c:crossAx val="279171840"/>
        <c:crosses val="autoZero"/>
        <c:auto val="1"/>
        <c:lblAlgn val="ctr"/>
        <c:lblOffset val="100"/>
      </c:catAx>
      <c:valAx>
        <c:axId val="279171840"/>
        <c:scaling>
          <c:orientation val="minMax"/>
        </c:scaling>
        <c:axPos val="l"/>
        <c:majorGridlines/>
        <c:numFmt formatCode="#,##0" sourceLinked="0"/>
        <c:tickLblPos val="nextTo"/>
        <c:txPr>
          <a:bodyPr/>
          <a:lstStyle/>
          <a:p>
            <a:pPr>
              <a:defRPr sz="600"/>
            </a:pPr>
            <a:endParaRPr lang="zh-CN"/>
          </a:p>
        </c:txPr>
        <c:crossAx val="278428672"/>
        <c:crosses val="autoZero"/>
        <c:crossBetween val="between"/>
      </c:valAx>
      <c:valAx>
        <c:axId val="279173376"/>
        <c:scaling>
          <c:orientation val="minMax"/>
        </c:scaling>
        <c:axPos val="r"/>
        <c:numFmt formatCode="#,##0" sourceLinked="0"/>
        <c:tickLblPos val="nextTo"/>
        <c:txPr>
          <a:bodyPr/>
          <a:lstStyle/>
          <a:p>
            <a:pPr>
              <a:defRPr sz="600"/>
            </a:pPr>
            <a:endParaRPr lang="zh-CN"/>
          </a:p>
        </c:txPr>
        <c:crossAx val="284246016"/>
        <c:crosses val="max"/>
        <c:crossBetween val="between"/>
      </c:valAx>
      <c:catAx>
        <c:axId val="284246016"/>
        <c:scaling>
          <c:orientation val="minMax"/>
        </c:scaling>
        <c:delete val="1"/>
        <c:axPos val="b"/>
        <c:tickLblPos val="nextTo"/>
        <c:crossAx val="279173376"/>
        <c:crosses val="autoZero"/>
        <c:auto val="1"/>
        <c:lblAlgn val="ctr"/>
        <c:lblOffset val="100"/>
      </c:catAx>
    </c:plotArea>
    <c:legend>
      <c:legendPos val="r"/>
      <c:layout>
        <c:manualLayout>
          <c:xMode val="edge"/>
          <c:yMode val="edge"/>
          <c:x val="0.10922754988825928"/>
          <c:y val="2.6776708466997211E-2"/>
          <c:w val="0.76856905331634862"/>
          <c:h val="8.4101049868766528E-2"/>
        </c:manualLayout>
      </c:layout>
      <c:txPr>
        <a:bodyPr/>
        <a:lstStyle/>
        <a:p>
          <a:pPr>
            <a:defRPr sz="600" b="1">
              <a:latin typeface="楷体" pitchFamily="49" charset="-122"/>
              <a:ea typeface="楷体" pitchFamily="49" charset="-122"/>
            </a:defRPr>
          </a:pPr>
          <a:endParaRPr lang="zh-CN"/>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style val="4"/>
  <c:chart>
    <c:autoTitleDeleted val="1"/>
    <c:plotArea>
      <c:layout>
        <c:manualLayout>
          <c:layoutTarget val="inner"/>
          <c:xMode val="edge"/>
          <c:yMode val="edge"/>
          <c:x val="8.072941394271109E-2"/>
          <c:y val="0.13921848947238813"/>
          <c:w val="0.88340855004045959"/>
          <c:h val="0.7739922890400226"/>
        </c:manualLayout>
      </c:layout>
      <c:scatterChart>
        <c:scatterStyle val="lineMarker"/>
        <c:ser>
          <c:idx val="0"/>
          <c:order val="0"/>
          <c:tx>
            <c:strRef>
              <c:f>[沪股通持股.xlsx]万得!$F$1</c:f>
              <c:strCache>
                <c:ptCount val="1"/>
                <c:pt idx="0">
                  <c:v>沪股通占流通A股比例分布(%)</c:v>
                </c:pt>
              </c:strCache>
            </c:strRef>
          </c:tx>
          <c:spPr>
            <a:ln w="28575">
              <a:noFill/>
            </a:ln>
          </c:spPr>
          <c:marker>
            <c:symbol val="diamond"/>
            <c:size val="3"/>
          </c:marker>
          <c:xVal>
            <c:strRef>
              <c:f>[沪股通持股.xlsx]万得!$B$2:$B$815</c:f>
              <c:strCache>
                <c:ptCount val="812"/>
                <c:pt idx="0">
                  <c:v>中国石化</c:v>
                </c:pt>
                <c:pt idx="1">
                  <c:v>东风汽车</c:v>
                </c:pt>
                <c:pt idx="2">
                  <c:v>南京高科</c:v>
                </c:pt>
                <c:pt idx="3">
                  <c:v>兰花科创</c:v>
                </c:pt>
                <c:pt idx="4">
                  <c:v>广州发展</c:v>
                </c:pt>
                <c:pt idx="5">
                  <c:v>铁龙物流</c:v>
                </c:pt>
                <c:pt idx="6">
                  <c:v>浦发银行</c:v>
                </c:pt>
                <c:pt idx="7">
                  <c:v>南方航空</c:v>
                </c:pt>
                <c:pt idx="8">
                  <c:v>中信证券</c:v>
                </c:pt>
                <c:pt idx="9">
                  <c:v>中国国贸</c:v>
                </c:pt>
                <c:pt idx="10">
                  <c:v>同方股份</c:v>
                </c:pt>
                <c:pt idx="11">
                  <c:v>三一重工</c:v>
                </c:pt>
                <c:pt idx="12">
                  <c:v>福建高速</c:v>
                </c:pt>
                <c:pt idx="13">
                  <c:v>兴发集团</c:v>
                </c:pt>
                <c:pt idx="14">
                  <c:v>金发科技</c:v>
                </c:pt>
                <c:pt idx="15">
                  <c:v>宇通客车</c:v>
                </c:pt>
                <c:pt idx="16">
                  <c:v>冠城大通</c:v>
                </c:pt>
                <c:pt idx="17">
                  <c:v>葛洲坝</c:v>
                </c:pt>
                <c:pt idx="18">
                  <c:v>中船科技</c:v>
                </c:pt>
                <c:pt idx="19">
                  <c:v>白云机场</c:v>
                </c:pt>
                <c:pt idx="20">
                  <c:v>明星电力</c:v>
                </c:pt>
                <c:pt idx="21">
                  <c:v>重庆路桥</c:v>
                </c:pt>
                <c:pt idx="22">
                  <c:v>首创股份</c:v>
                </c:pt>
                <c:pt idx="23">
                  <c:v>亚盛集团</c:v>
                </c:pt>
                <c:pt idx="24">
                  <c:v>上汽集团</c:v>
                </c:pt>
                <c:pt idx="25">
                  <c:v>上海梅林</c:v>
                </c:pt>
                <c:pt idx="26">
                  <c:v>国金证券</c:v>
                </c:pt>
                <c:pt idx="27">
                  <c:v>永鼎股份</c:v>
                </c:pt>
                <c:pt idx="28">
                  <c:v>*ST保千</c:v>
                </c:pt>
                <c:pt idx="29">
                  <c:v>*ST船舶</c:v>
                </c:pt>
                <c:pt idx="30">
                  <c:v>招商银行</c:v>
                </c:pt>
                <c:pt idx="31">
                  <c:v>新疆天业</c:v>
                </c:pt>
                <c:pt idx="32">
                  <c:v>歌华有线</c:v>
                </c:pt>
                <c:pt idx="33">
                  <c:v>中直股份</c:v>
                </c:pt>
                <c:pt idx="34">
                  <c:v>建发股份</c:v>
                </c:pt>
                <c:pt idx="35">
                  <c:v>四川路桥</c:v>
                </c:pt>
                <c:pt idx="36">
                  <c:v>华创阳安</c:v>
                </c:pt>
                <c:pt idx="37">
                  <c:v>保利地产</c:v>
                </c:pt>
                <c:pt idx="38">
                  <c:v>永泰能源</c:v>
                </c:pt>
                <c:pt idx="39">
                  <c:v>中国联通</c:v>
                </c:pt>
                <c:pt idx="40">
                  <c:v>中体产业</c:v>
                </c:pt>
                <c:pt idx="41">
                  <c:v>九鼎投资</c:v>
                </c:pt>
                <c:pt idx="42">
                  <c:v>诺德股份</c:v>
                </c:pt>
                <c:pt idx="43">
                  <c:v>重庆啤酒</c:v>
                </c:pt>
                <c:pt idx="44">
                  <c:v>巨化股份</c:v>
                </c:pt>
                <c:pt idx="45">
                  <c:v>北方稀土</c:v>
                </c:pt>
                <c:pt idx="46">
                  <c:v>天坛生物</c:v>
                </c:pt>
                <c:pt idx="47">
                  <c:v>宋都股份</c:v>
                </c:pt>
                <c:pt idx="48">
                  <c:v>天成控股</c:v>
                </c:pt>
                <c:pt idx="49">
                  <c:v>香江控股</c:v>
                </c:pt>
                <c:pt idx="50">
                  <c:v>浙江东日</c:v>
                </c:pt>
                <c:pt idx="51">
                  <c:v>澄星股份</c:v>
                </c:pt>
                <c:pt idx="52">
                  <c:v>福田汽车</c:v>
                </c:pt>
                <c:pt idx="53">
                  <c:v>东睦股份</c:v>
                </c:pt>
                <c:pt idx="54">
                  <c:v>乐凯胶片</c:v>
                </c:pt>
                <c:pt idx="55">
                  <c:v>黄山旅游</c:v>
                </c:pt>
                <c:pt idx="56">
                  <c:v>人福医药</c:v>
                </c:pt>
                <c:pt idx="57">
                  <c:v>联美控股</c:v>
                </c:pt>
                <c:pt idx="58">
                  <c:v>东方航空</c:v>
                </c:pt>
                <c:pt idx="59">
                  <c:v>中青旅</c:v>
                </c:pt>
                <c:pt idx="60">
                  <c:v>中国医药</c:v>
                </c:pt>
                <c:pt idx="61">
                  <c:v>武汉控股</c:v>
                </c:pt>
                <c:pt idx="62">
                  <c:v>金花股份</c:v>
                </c:pt>
                <c:pt idx="63">
                  <c:v>三峡水利</c:v>
                </c:pt>
                <c:pt idx="64">
                  <c:v>上海机场</c:v>
                </c:pt>
                <c:pt idx="65">
                  <c:v>五矿发展</c:v>
                </c:pt>
                <c:pt idx="66">
                  <c:v>东风科技</c:v>
                </c:pt>
                <c:pt idx="67">
                  <c:v>太原重工</c:v>
                </c:pt>
                <c:pt idx="68">
                  <c:v>中国卫星</c:v>
                </c:pt>
                <c:pt idx="69">
                  <c:v>古越龙山</c:v>
                </c:pt>
                <c:pt idx="70">
                  <c:v>同仁堂</c:v>
                </c:pt>
                <c:pt idx="71">
                  <c:v>上海建工</c:v>
                </c:pt>
                <c:pt idx="72">
                  <c:v>长江投资</c:v>
                </c:pt>
                <c:pt idx="73">
                  <c:v>东方金钰</c:v>
                </c:pt>
                <c:pt idx="74">
                  <c:v>海信电器</c:v>
                </c:pt>
                <c:pt idx="75">
                  <c:v>浙江东方</c:v>
                </c:pt>
                <c:pt idx="76">
                  <c:v>国投资本</c:v>
                </c:pt>
                <c:pt idx="77">
                  <c:v>中视传媒</c:v>
                </c:pt>
                <c:pt idx="78">
                  <c:v>华润双鹤</c:v>
                </c:pt>
                <c:pt idx="79">
                  <c:v>特变电工</c:v>
                </c:pt>
                <c:pt idx="80">
                  <c:v>皖维高新</c:v>
                </c:pt>
                <c:pt idx="81">
                  <c:v>易见股份</c:v>
                </c:pt>
                <c:pt idx="82">
                  <c:v>大名城</c:v>
                </c:pt>
                <c:pt idx="83">
                  <c:v>云天化</c:v>
                </c:pt>
                <c:pt idx="84">
                  <c:v>包钢股份</c:v>
                </c:pt>
                <c:pt idx="85">
                  <c:v>上海贝岭</c:v>
                </c:pt>
                <c:pt idx="86">
                  <c:v>华能国际</c:v>
                </c:pt>
                <c:pt idx="87">
                  <c:v>皖通高速</c:v>
                </c:pt>
                <c:pt idx="88">
                  <c:v>雅戈尔</c:v>
                </c:pt>
                <c:pt idx="89">
                  <c:v>郑州煤电</c:v>
                </c:pt>
                <c:pt idx="90">
                  <c:v>黄河旋风</c:v>
                </c:pt>
                <c:pt idx="91">
                  <c:v>恒顺醋业</c:v>
                </c:pt>
                <c:pt idx="92">
                  <c:v>卧龙地产</c:v>
                </c:pt>
                <c:pt idx="93">
                  <c:v>瑞茂通</c:v>
                </c:pt>
                <c:pt idx="94">
                  <c:v>宏图高科</c:v>
                </c:pt>
                <c:pt idx="95">
                  <c:v>酒钢宏兴</c:v>
                </c:pt>
                <c:pt idx="96">
                  <c:v>生益科技</c:v>
                </c:pt>
                <c:pt idx="97">
                  <c:v>万华化学</c:v>
                </c:pt>
                <c:pt idx="98">
                  <c:v>桂东电力</c:v>
                </c:pt>
                <c:pt idx="99">
                  <c:v>华夏银行</c:v>
                </c:pt>
                <c:pt idx="100">
                  <c:v>平高电气</c:v>
                </c:pt>
                <c:pt idx="101">
                  <c:v>上海家化</c:v>
                </c:pt>
                <c:pt idx="102">
                  <c:v>格力地产</c:v>
                </c:pt>
                <c:pt idx="103">
                  <c:v>洪都航空</c:v>
                </c:pt>
                <c:pt idx="104">
                  <c:v>民生银行</c:v>
                </c:pt>
                <c:pt idx="105">
                  <c:v>兖州煤业</c:v>
                </c:pt>
                <c:pt idx="106">
                  <c:v>日照港</c:v>
                </c:pt>
                <c:pt idx="107">
                  <c:v>锦州港</c:v>
                </c:pt>
                <c:pt idx="108">
                  <c:v>上港集团</c:v>
                </c:pt>
                <c:pt idx="109">
                  <c:v>营口港</c:v>
                </c:pt>
                <c:pt idx="110">
                  <c:v>中牧股份</c:v>
                </c:pt>
                <c:pt idx="111">
                  <c:v>宝钢股份</c:v>
                </c:pt>
                <c:pt idx="112">
                  <c:v>新力金融</c:v>
                </c:pt>
                <c:pt idx="113">
                  <c:v>*ST正源</c:v>
                </c:pt>
                <c:pt idx="114">
                  <c:v>瀚蓝环境</c:v>
                </c:pt>
                <c:pt idx="115">
                  <c:v>复星医药</c:v>
                </c:pt>
                <c:pt idx="116">
                  <c:v>中原高速</c:v>
                </c:pt>
                <c:pt idx="117">
                  <c:v>华发股份</c:v>
                </c:pt>
                <c:pt idx="118">
                  <c:v>西藏天路</c:v>
                </c:pt>
                <c:pt idx="119">
                  <c:v>大东方</c:v>
                </c:pt>
                <c:pt idx="120">
                  <c:v>中新药业</c:v>
                </c:pt>
                <c:pt idx="121">
                  <c:v>上海电力</c:v>
                </c:pt>
                <c:pt idx="122">
                  <c:v>白云山</c:v>
                </c:pt>
                <c:pt idx="123">
                  <c:v>长春燃气</c:v>
                </c:pt>
                <c:pt idx="124">
                  <c:v>国机汽车</c:v>
                </c:pt>
                <c:pt idx="125">
                  <c:v>美克家居</c:v>
                </c:pt>
                <c:pt idx="126">
                  <c:v>西藏珠峰</c:v>
                </c:pt>
                <c:pt idx="127">
                  <c:v>凌钢股份</c:v>
                </c:pt>
                <c:pt idx="128">
                  <c:v>赣粤高速</c:v>
                </c:pt>
                <c:pt idx="129">
                  <c:v>外运发展</c:v>
                </c:pt>
                <c:pt idx="130">
                  <c:v>美都能源</c:v>
                </c:pt>
                <c:pt idx="131">
                  <c:v>航天信息</c:v>
                </c:pt>
                <c:pt idx="132">
                  <c:v>嘉化能源</c:v>
                </c:pt>
                <c:pt idx="133">
                  <c:v>恒瑞医药</c:v>
                </c:pt>
                <c:pt idx="134">
                  <c:v>亿利洁能</c:v>
                </c:pt>
                <c:pt idx="135">
                  <c:v>东方创业</c:v>
                </c:pt>
                <c:pt idx="136">
                  <c:v>中央商场</c:v>
                </c:pt>
                <c:pt idx="137">
                  <c:v>南钢股份</c:v>
                </c:pt>
                <c:pt idx="138">
                  <c:v>浦东建设</c:v>
                </c:pt>
                <c:pt idx="139">
                  <c:v>羚锐制药</c:v>
                </c:pt>
                <c:pt idx="140">
                  <c:v>*ST信通</c:v>
                </c:pt>
                <c:pt idx="141">
                  <c:v>浙能电力</c:v>
                </c:pt>
                <c:pt idx="142">
                  <c:v>华仪电气</c:v>
                </c:pt>
                <c:pt idx="143">
                  <c:v>华能水电</c:v>
                </c:pt>
                <c:pt idx="144">
                  <c:v>西水股份</c:v>
                </c:pt>
                <c:pt idx="145">
                  <c:v>中国巨石</c:v>
                </c:pt>
                <c:pt idx="146">
                  <c:v>中远海能</c:v>
                </c:pt>
                <c:pt idx="147">
                  <c:v>圆通速递</c:v>
                </c:pt>
                <c:pt idx="148">
                  <c:v>远达环保</c:v>
                </c:pt>
                <c:pt idx="149">
                  <c:v>华夏幸福</c:v>
                </c:pt>
                <c:pt idx="150">
                  <c:v>华电国际</c:v>
                </c:pt>
                <c:pt idx="151">
                  <c:v>桂冠电力</c:v>
                </c:pt>
                <c:pt idx="152">
                  <c:v>鄂尔多斯</c:v>
                </c:pt>
                <c:pt idx="153">
                  <c:v>航天动力</c:v>
                </c:pt>
                <c:pt idx="154">
                  <c:v>*ST椰岛</c:v>
                </c:pt>
                <c:pt idx="155">
                  <c:v>广汇汽车</c:v>
                </c:pt>
                <c:pt idx="156">
                  <c:v>长江通信</c:v>
                </c:pt>
                <c:pt idx="157">
                  <c:v>云南城投</c:v>
                </c:pt>
                <c:pt idx="158">
                  <c:v>安琪酵母</c:v>
                </c:pt>
                <c:pt idx="159">
                  <c:v>华菱星马</c:v>
                </c:pt>
                <c:pt idx="160">
                  <c:v>健康元</c:v>
                </c:pt>
                <c:pt idx="161">
                  <c:v>首开股份</c:v>
                </c:pt>
                <c:pt idx="162">
                  <c:v>宁沪高速</c:v>
                </c:pt>
                <c:pt idx="163">
                  <c:v>华胜天成</c:v>
                </c:pt>
                <c:pt idx="164">
                  <c:v>小商品城</c:v>
                </c:pt>
                <c:pt idx="165">
                  <c:v>湘电股份</c:v>
                </c:pt>
                <c:pt idx="166">
                  <c:v>江淮汽车</c:v>
                </c:pt>
                <c:pt idx="167">
                  <c:v>现代制药</c:v>
                </c:pt>
                <c:pt idx="168">
                  <c:v>昆药集团</c:v>
                </c:pt>
                <c:pt idx="169">
                  <c:v>青松建化</c:v>
                </c:pt>
                <c:pt idx="170">
                  <c:v>华鲁恒升</c:v>
                </c:pt>
                <c:pt idx="171">
                  <c:v>伊力特</c:v>
                </c:pt>
                <c:pt idx="172">
                  <c:v>恒力股份</c:v>
                </c:pt>
                <c:pt idx="173">
                  <c:v>华业资本</c:v>
                </c:pt>
                <c:pt idx="174">
                  <c:v>中远海特</c:v>
                </c:pt>
                <c:pt idx="175">
                  <c:v>阳泉煤业</c:v>
                </c:pt>
                <c:pt idx="176">
                  <c:v>万通地产</c:v>
                </c:pt>
                <c:pt idx="177">
                  <c:v>冠豪高新</c:v>
                </c:pt>
                <c:pt idx="178">
                  <c:v>山东高速</c:v>
                </c:pt>
                <c:pt idx="179">
                  <c:v>延长化建</c:v>
                </c:pt>
                <c:pt idx="180">
                  <c:v>北方导航</c:v>
                </c:pt>
                <c:pt idx="181">
                  <c:v>亚宝药业</c:v>
                </c:pt>
                <c:pt idx="182">
                  <c:v>冠农股份</c:v>
                </c:pt>
                <c:pt idx="183">
                  <c:v>片仔癀</c:v>
                </c:pt>
                <c:pt idx="184">
                  <c:v>江苏吴中</c:v>
                </c:pt>
                <c:pt idx="185">
                  <c:v>中恒集团</c:v>
                </c:pt>
                <c:pt idx="186">
                  <c:v>通威股份</c:v>
                </c:pt>
                <c:pt idx="187">
                  <c:v>生物股份</c:v>
                </c:pt>
                <c:pt idx="188">
                  <c:v>梦舟股份</c:v>
                </c:pt>
                <c:pt idx="189">
                  <c:v>瑞贝卡</c:v>
                </c:pt>
                <c:pt idx="190">
                  <c:v>安迪苏</c:v>
                </c:pt>
                <c:pt idx="191">
                  <c:v>有研新材</c:v>
                </c:pt>
                <c:pt idx="192">
                  <c:v>广汇能源</c:v>
                </c:pt>
                <c:pt idx="193">
                  <c:v>金证股份</c:v>
                </c:pt>
                <c:pt idx="194">
                  <c:v>新湖中宝</c:v>
                </c:pt>
                <c:pt idx="195">
                  <c:v>大湖股份</c:v>
                </c:pt>
                <c:pt idx="196">
                  <c:v>宁夏建材</c:v>
                </c:pt>
                <c:pt idx="197">
                  <c:v>紫江企业</c:v>
                </c:pt>
                <c:pt idx="198">
                  <c:v>浙江医药</c:v>
                </c:pt>
                <c:pt idx="199">
                  <c:v>维维股份</c:v>
                </c:pt>
                <c:pt idx="200">
                  <c:v>全柴动力</c:v>
                </c:pt>
                <c:pt idx="201">
                  <c:v>南山铝业</c:v>
                </c:pt>
                <c:pt idx="202">
                  <c:v>浙江龙盛</c:v>
                </c:pt>
                <c:pt idx="203">
                  <c:v>海航控股</c:v>
                </c:pt>
                <c:pt idx="204">
                  <c:v>瀚叶股份</c:v>
                </c:pt>
                <c:pt idx="205">
                  <c:v>沧州大化</c:v>
                </c:pt>
                <c:pt idx="206">
                  <c:v>天药股份</c:v>
                </c:pt>
                <c:pt idx="207">
                  <c:v>涪陵电力</c:v>
                </c:pt>
                <c:pt idx="208">
                  <c:v>时代新材</c:v>
                </c:pt>
                <c:pt idx="209">
                  <c:v>中金黄金</c:v>
                </c:pt>
                <c:pt idx="210">
                  <c:v>青海春天</c:v>
                </c:pt>
                <c:pt idx="211">
                  <c:v>广东明珠</c:v>
                </c:pt>
                <c:pt idx="212">
                  <c:v>贵研铂业</c:v>
                </c:pt>
                <c:pt idx="213">
                  <c:v>金地集团</c:v>
                </c:pt>
                <c:pt idx="214">
                  <c:v>士兰微</c:v>
                </c:pt>
                <c:pt idx="215">
                  <c:v>北巴传媒</c:v>
                </c:pt>
                <c:pt idx="216">
                  <c:v>海越能源</c:v>
                </c:pt>
                <c:pt idx="217">
                  <c:v>天科股份</c:v>
                </c:pt>
                <c:pt idx="218">
                  <c:v>龙净环保</c:v>
                </c:pt>
                <c:pt idx="219">
                  <c:v>蓝光发展</c:v>
                </c:pt>
                <c:pt idx="220">
                  <c:v>江山股份</c:v>
                </c:pt>
                <c:pt idx="221">
                  <c:v>好当家</c:v>
                </c:pt>
                <c:pt idx="222">
                  <c:v>航发科技</c:v>
                </c:pt>
                <c:pt idx="223">
                  <c:v>百利电气</c:v>
                </c:pt>
                <c:pt idx="224">
                  <c:v>盛和资源</c:v>
                </c:pt>
                <c:pt idx="225">
                  <c:v>风神股份</c:v>
                </c:pt>
                <c:pt idx="226">
                  <c:v>粤泰股份</c:v>
                </c:pt>
                <c:pt idx="227">
                  <c:v>六国化工</c:v>
                </c:pt>
                <c:pt idx="228">
                  <c:v>杭萧钢构</c:v>
                </c:pt>
                <c:pt idx="229">
                  <c:v>盘江股份</c:v>
                </c:pt>
                <c:pt idx="230">
                  <c:v>金山股份</c:v>
                </c:pt>
                <c:pt idx="231">
                  <c:v>科力远</c:v>
                </c:pt>
                <c:pt idx="232">
                  <c:v>*ST安煤</c:v>
                </c:pt>
                <c:pt idx="233">
                  <c:v>千金药业</c:v>
                </c:pt>
                <c:pt idx="234">
                  <c:v>海澜之家</c:v>
                </c:pt>
                <c:pt idx="235">
                  <c:v>凌云股份</c:v>
                </c:pt>
                <c:pt idx="236">
                  <c:v>*ST抚钢</c:v>
                </c:pt>
                <c:pt idx="237">
                  <c:v>双良节能</c:v>
                </c:pt>
                <c:pt idx="238">
                  <c:v>中国动力</c:v>
                </c:pt>
                <c:pt idx="239">
                  <c:v>福能股份</c:v>
                </c:pt>
                <c:pt idx="240">
                  <c:v>信威集团</c:v>
                </c:pt>
                <c:pt idx="241">
                  <c:v>扬农化工</c:v>
                </c:pt>
                <c:pt idx="242">
                  <c:v>亨通光电</c:v>
                </c:pt>
                <c:pt idx="243">
                  <c:v>国电南瑞</c:v>
                </c:pt>
                <c:pt idx="244">
                  <c:v>三友化工</c:v>
                </c:pt>
                <c:pt idx="245">
                  <c:v>鹏欣资源</c:v>
                </c:pt>
                <c:pt idx="246">
                  <c:v>龙元建设</c:v>
                </c:pt>
                <c:pt idx="247">
                  <c:v>晋西车轴</c:v>
                </c:pt>
                <c:pt idx="248">
                  <c:v>精工钢构</c:v>
                </c:pt>
                <c:pt idx="249">
                  <c:v>驰宏锌锗</c:v>
                </c:pt>
                <c:pt idx="250">
                  <c:v>烽火通信</c:v>
                </c:pt>
                <c:pt idx="251">
                  <c:v>科达洁能</c:v>
                </c:pt>
                <c:pt idx="252">
                  <c:v>中化国际</c:v>
                </c:pt>
                <c:pt idx="253">
                  <c:v>航天晨光</c:v>
                </c:pt>
                <c:pt idx="254">
                  <c:v>安徽水利</c:v>
                </c:pt>
                <c:pt idx="255">
                  <c:v>华丽家族</c:v>
                </c:pt>
                <c:pt idx="256">
                  <c:v>方大特钢</c:v>
                </c:pt>
                <c:pt idx="257">
                  <c:v>上海能源</c:v>
                </c:pt>
                <c:pt idx="258">
                  <c:v>天富能源</c:v>
                </c:pt>
                <c:pt idx="259">
                  <c:v>黑牡丹</c:v>
                </c:pt>
                <c:pt idx="260">
                  <c:v>红豆股份</c:v>
                </c:pt>
                <c:pt idx="261">
                  <c:v>国药股份</c:v>
                </c:pt>
                <c:pt idx="262">
                  <c:v>联环药业</c:v>
                </c:pt>
                <c:pt idx="263">
                  <c:v>方大炭素</c:v>
                </c:pt>
                <c:pt idx="264">
                  <c:v>置信电气</c:v>
                </c:pt>
                <c:pt idx="265">
                  <c:v>康美药业</c:v>
                </c:pt>
                <c:pt idx="266">
                  <c:v>康缘药业</c:v>
                </c:pt>
                <c:pt idx="267">
                  <c:v>老白干酒</c:v>
                </c:pt>
                <c:pt idx="268">
                  <c:v>江西长运</c:v>
                </c:pt>
                <c:pt idx="269">
                  <c:v>旭光股份</c:v>
                </c:pt>
                <c:pt idx="270">
                  <c:v>国睿科技</c:v>
                </c:pt>
                <c:pt idx="271">
                  <c:v>法拉电子</c:v>
                </c:pt>
                <c:pt idx="272">
                  <c:v>迪马股份</c:v>
                </c:pt>
                <c:pt idx="273">
                  <c:v>济川药业</c:v>
                </c:pt>
                <c:pt idx="274">
                  <c:v>山鹰纸业</c:v>
                </c:pt>
                <c:pt idx="275">
                  <c:v>中珠医疗</c:v>
                </c:pt>
                <c:pt idx="276">
                  <c:v>首旅酒店</c:v>
                </c:pt>
                <c:pt idx="277">
                  <c:v>海螺水泥</c:v>
                </c:pt>
                <c:pt idx="278">
                  <c:v>金晶科技</c:v>
                </c:pt>
                <c:pt idx="279">
                  <c:v>贵州茅台</c:v>
                </c:pt>
                <c:pt idx="280">
                  <c:v>广晟有色</c:v>
                </c:pt>
                <c:pt idx="281">
                  <c:v>江西铜业</c:v>
                </c:pt>
                <c:pt idx="282">
                  <c:v>凯乐科技</c:v>
                </c:pt>
                <c:pt idx="283">
                  <c:v>联创光电</c:v>
                </c:pt>
                <c:pt idx="284">
                  <c:v>华海药业</c:v>
                </c:pt>
                <c:pt idx="285">
                  <c:v>宁波韵升</c:v>
                </c:pt>
                <c:pt idx="286">
                  <c:v>中天科技</c:v>
                </c:pt>
                <c:pt idx="287">
                  <c:v>西南证券</c:v>
                </c:pt>
                <c:pt idx="288">
                  <c:v>阳光照明</c:v>
                </c:pt>
                <c:pt idx="289">
                  <c:v>恒生电子</c:v>
                </c:pt>
                <c:pt idx="290">
                  <c:v>中航电子</c:v>
                </c:pt>
                <c:pt idx="291">
                  <c:v>贵航股份</c:v>
                </c:pt>
                <c:pt idx="292">
                  <c:v>长园集团</c:v>
                </c:pt>
                <c:pt idx="293">
                  <c:v>菲达环保</c:v>
                </c:pt>
                <c:pt idx="294">
                  <c:v>江南高纤</c:v>
                </c:pt>
                <c:pt idx="295">
                  <c:v>中铁工业</c:v>
                </c:pt>
                <c:pt idx="296">
                  <c:v>北京城建</c:v>
                </c:pt>
                <c:pt idx="297">
                  <c:v>豫光金铅</c:v>
                </c:pt>
                <c:pt idx="298">
                  <c:v>宏达矿业</c:v>
                </c:pt>
                <c:pt idx="299">
                  <c:v>天士力</c:v>
                </c:pt>
                <c:pt idx="300">
                  <c:v>中国软件</c:v>
                </c:pt>
                <c:pt idx="301">
                  <c:v>亿晶光电</c:v>
                </c:pt>
                <c:pt idx="302">
                  <c:v>卓郎智能</c:v>
                </c:pt>
                <c:pt idx="303">
                  <c:v>山煤国际</c:v>
                </c:pt>
                <c:pt idx="304">
                  <c:v>山东黄金</c:v>
                </c:pt>
                <c:pt idx="305">
                  <c:v>深高速</c:v>
                </c:pt>
                <c:pt idx="306">
                  <c:v>厦门钨业</c:v>
                </c:pt>
                <c:pt idx="307">
                  <c:v>大有能源</c:v>
                </c:pt>
                <c:pt idx="308">
                  <c:v>信雅达</c:v>
                </c:pt>
                <c:pt idx="309">
                  <c:v>中文传媒</c:v>
                </c:pt>
                <c:pt idx="310">
                  <c:v>海正药业</c:v>
                </c:pt>
                <c:pt idx="311">
                  <c:v>康恩贝</c:v>
                </c:pt>
                <c:pt idx="312">
                  <c:v>国电南自</c:v>
                </c:pt>
                <c:pt idx="313">
                  <c:v>精达股份</c:v>
                </c:pt>
                <c:pt idx="314">
                  <c:v>京能电力</c:v>
                </c:pt>
                <c:pt idx="315">
                  <c:v>动力源</c:v>
                </c:pt>
                <c:pt idx="316">
                  <c:v>时代出版</c:v>
                </c:pt>
                <c:pt idx="317">
                  <c:v>天宸股份</c:v>
                </c:pt>
                <c:pt idx="318">
                  <c:v>凯盛科技</c:v>
                </c:pt>
                <c:pt idx="319">
                  <c:v>华鑫股份</c:v>
                </c:pt>
                <c:pt idx="320">
                  <c:v>新华医疗</c:v>
                </c:pt>
                <c:pt idx="321">
                  <c:v>珠江实业</c:v>
                </c:pt>
                <c:pt idx="322">
                  <c:v>中船防务</c:v>
                </c:pt>
                <c:pt idx="323">
                  <c:v>金龙汽车</c:v>
                </c:pt>
                <c:pt idx="324">
                  <c:v>刚泰控股</c:v>
                </c:pt>
                <c:pt idx="325">
                  <c:v>上海石化</c:v>
                </c:pt>
                <c:pt idx="326">
                  <c:v>青岛海尔</c:v>
                </c:pt>
                <c:pt idx="327">
                  <c:v>东百集团</c:v>
                </c:pt>
                <c:pt idx="328">
                  <c:v>大商股份</c:v>
                </c:pt>
                <c:pt idx="329">
                  <c:v>光大嘉宝</c:v>
                </c:pt>
                <c:pt idx="330">
                  <c:v>欧亚集团</c:v>
                </c:pt>
                <c:pt idx="331">
                  <c:v>华谊集团</c:v>
                </c:pt>
                <c:pt idx="332">
                  <c:v>均胜电子</c:v>
                </c:pt>
                <c:pt idx="333">
                  <c:v>三安光电</c:v>
                </c:pt>
                <c:pt idx="334">
                  <c:v>物产中大</c:v>
                </c:pt>
                <c:pt idx="335">
                  <c:v>中航资本</c:v>
                </c:pt>
                <c:pt idx="336">
                  <c:v>复旦复华</c:v>
                </c:pt>
                <c:pt idx="337">
                  <c:v>光明地产</c:v>
                </c:pt>
                <c:pt idx="338">
                  <c:v>申达股份</c:v>
                </c:pt>
                <c:pt idx="339">
                  <c:v>盛屯矿业</c:v>
                </c:pt>
                <c:pt idx="340">
                  <c:v>新世界</c:v>
                </c:pt>
                <c:pt idx="341">
                  <c:v>文投控股</c:v>
                </c:pt>
                <c:pt idx="342">
                  <c:v>华建集团</c:v>
                </c:pt>
                <c:pt idx="343">
                  <c:v>凤凰股份</c:v>
                </c:pt>
                <c:pt idx="344">
                  <c:v>浙数文化</c:v>
                </c:pt>
                <c:pt idx="345">
                  <c:v>天津港</c:v>
                </c:pt>
                <c:pt idx="346">
                  <c:v>锦江投资</c:v>
                </c:pt>
                <c:pt idx="347">
                  <c:v>飞乐音响</c:v>
                </c:pt>
                <c:pt idx="348">
                  <c:v>ST中安</c:v>
                </c:pt>
                <c:pt idx="349">
                  <c:v>豫园股份</c:v>
                </c:pt>
                <c:pt idx="350">
                  <c:v>信达地产</c:v>
                </c:pt>
                <c:pt idx="351">
                  <c:v>电子城</c:v>
                </c:pt>
                <c:pt idx="352">
                  <c:v>福耀玻璃</c:v>
                </c:pt>
                <c:pt idx="353">
                  <c:v>昂立教育</c:v>
                </c:pt>
                <c:pt idx="354">
                  <c:v>强生控股</c:v>
                </c:pt>
                <c:pt idx="355">
                  <c:v>陆家嘴</c:v>
                </c:pt>
                <c:pt idx="356">
                  <c:v>哈药股份</c:v>
                </c:pt>
                <c:pt idx="357">
                  <c:v>奥瑞德</c:v>
                </c:pt>
                <c:pt idx="358">
                  <c:v>太极实业</c:v>
                </c:pt>
                <c:pt idx="359">
                  <c:v>尖峰集团</c:v>
                </c:pt>
                <c:pt idx="360">
                  <c:v>东阳光科</c:v>
                </c:pt>
                <c:pt idx="361">
                  <c:v>川投能源</c:v>
                </c:pt>
                <c:pt idx="362">
                  <c:v>中华企业</c:v>
                </c:pt>
                <c:pt idx="363">
                  <c:v>交运股份</c:v>
                </c:pt>
                <c:pt idx="364">
                  <c:v>航天通信</c:v>
                </c:pt>
                <c:pt idx="365">
                  <c:v>南京新百</c:v>
                </c:pt>
                <c:pt idx="366">
                  <c:v>首商股份</c:v>
                </c:pt>
                <c:pt idx="367">
                  <c:v>宁波富达</c:v>
                </c:pt>
                <c:pt idx="368">
                  <c:v>重庆百货</c:v>
                </c:pt>
                <c:pt idx="369">
                  <c:v>祁连山</c:v>
                </c:pt>
                <c:pt idx="370">
                  <c:v>浙大网新</c:v>
                </c:pt>
                <c:pt idx="371">
                  <c:v>华新水泥</c:v>
                </c:pt>
                <c:pt idx="372">
                  <c:v>福建水泥</c:v>
                </c:pt>
                <c:pt idx="373">
                  <c:v>新奥股份</c:v>
                </c:pt>
                <c:pt idx="374">
                  <c:v>鹏博士</c:v>
                </c:pt>
                <c:pt idx="375">
                  <c:v>中国高科</c:v>
                </c:pt>
                <c:pt idx="376">
                  <c:v>苏州高新</c:v>
                </c:pt>
                <c:pt idx="377">
                  <c:v>中粮糖业</c:v>
                </c:pt>
                <c:pt idx="378">
                  <c:v>辽宁成大</c:v>
                </c:pt>
                <c:pt idx="379">
                  <c:v>华域汽车</c:v>
                </c:pt>
                <c:pt idx="380">
                  <c:v>一汽富维</c:v>
                </c:pt>
                <c:pt idx="381">
                  <c:v>华远地产</c:v>
                </c:pt>
                <c:pt idx="382">
                  <c:v>ST大控</c:v>
                </c:pt>
                <c:pt idx="383">
                  <c:v>上实发展</c:v>
                </c:pt>
                <c:pt idx="384">
                  <c:v>江中药业</c:v>
                </c:pt>
                <c:pt idx="385">
                  <c:v>锦江股份</c:v>
                </c:pt>
                <c:pt idx="386">
                  <c:v>厦门国贸</c:v>
                </c:pt>
                <c:pt idx="387">
                  <c:v>浪潮软件</c:v>
                </c:pt>
                <c:pt idx="388">
                  <c:v>长江传媒</c:v>
                </c:pt>
                <c:pt idx="389">
                  <c:v>红阳能源</c:v>
                </c:pt>
                <c:pt idx="390">
                  <c:v>*ST富控</c:v>
                </c:pt>
                <c:pt idx="391">
                  <c:v>大众公用</c:v>
                </c:pt>
                <c:pt idx="392">
                  <c:v>洲际油气</c:v>
                </c:pt>
                <c:pt idx="393">
                  <c:v>三爱富</c:v>
                </c:pt>
                <c:pt idx="394">
                  <c:v>中航沈飞</c:v>
                </c:pt>
                <c:pt idx="395">
                  <c:v>东方明珠</c:v>
                </c:pt>
                <c:pt idx="396">
                  <c:v>安徽合力</c:v>
                </c:pt>
                <c:pt idx="397">
                  <c:v>新黄浦</c:v>
                </c:pt>
                <c:pt idx="398">
                  <c:v>通策医疗</c:v>
                </c:pt>
                <c:pt idx="399">
                  <c:v>浦东金桥</c:v>
                </c:pt>
                <c:pt idx="400">
                  <c:v>号百控股</c:v>
                </c:pt>
                <c:pt idx="401">
                  <c:v>万业企业</c:v>
                </c:pt>
                <c:pt idx="402">
                  <c:v>申能股份</c:v>
                </c:pt>
                <c:pt idx="403">
                  <c:v>爱建集团</c:v>
                </c:pt>
                <c:pt idx="404">
                  <c:v>中源协和</c:v>
                </c:pt>
                <c:pt idx="405">
                  <c:v>东软集团</c:v>
                </c:pt>
                <c:pt idx="406">
                  <c:v>卧龙电气</c:v>
                </c:pt>
                <c:pt idx="407">
                  <c:v>外高桥</c:v>
                </c:pt>
                <c:pt idx="408">
                  <c:v>城投控股</c:v>
                </c:pt>
                <c:pt idx="409">
                  <c:v>天地科技</c:v>
                </c:pt>
                <c:pt idx="410">
                  <c:v>海油工程</c:v>
                </c:pt>
                <c:pt idx="411">
                  <c:v>长电科技</c:v>
                </c:pt>
                <c:pt idx="412">
                  <c:v>中航重机</c:v>
                </c:pt>
                <c:pt idx="413">
                  <c:v>用友网络</c:v>
                </c:pt>
                <c:pt idx="414">
                  <c:v>综艺股份</c:v>
                </c:pt>
                <c:pt idx="415">
                  <c:v>广东榕泰</c:v>
                </c:pt>
                <c:pt idx="416">
                  <c:v>西藏城投</c:v>
                </c:pt>
                <c:pt idx="417">
                  <c:v>益佰制药</c:v>
                </c:pt>
                <c:pt idx="418">
                  <c:v>南京熊猫</c:v>
                </c:pt>
                <c:pt idx="419">
                  <c:v>新安股份</c:v>
                </c:pt>
                <c:pt idx="420">
                  <c:v>东方通信</c:v>
                </c:pt>
                <c:pt idx="421">
                  <c:v>光明乳业</c:v>
                </c:pt>
                <c:pt idx="422">
                  <c:v>*ST友好</c:v>
                </c:pt>
                <c:pt idx="423">
                  <c:v>北大荒</c:v>
                </c:pt>
                <c:pt idx="424">
                  <c:v>水井坊</c:v>
                </c:pt>
                <c:pt idx="425">
                  <c:v>青岛啤酒</c:v>
                </c:pt>
                <c:pt idx="426">
                  <c:v>通宝能源</c:v>
                </c:pt>
                <c:pt idx="427">
                  <c:v>方正科技</c:v>
                </c:pt>
                <c:pt idx="428">
                  <c:v>新钢股份</c:v>
                </c:pt>
                <c:pt idx="429">
                  <c:v>鲁信创投</c:v>
                </c:pt>
                <c:pt idx="430">
                  <c:v>鲁银投资</c:v>
                </c:pt>
                <c:pt idx="431">
                  <c:v>市北高新</c:v>
                </c:pt>
                <c:pt idx="432">
                  <c:v>新华百货</c:v>
                </c:pt>
                <c:pt idx="433">
                  <c:v>人民同泰</c:v>
                </c:pt>
                <c:pt idx="434">
                  <c:v>绿地控股</c:v>
                </c:pt>
                <c:pt idx="435">
                  <c:v>中储股份</c:v>
                </c:pt>
                <c:pt idx="436">
                  <c:v>香溢融通</c:v>
                </c:pt>
                <c:pt idx="437">
                  <c:v>大众交通</c:v>
                </c:pt>
                <c:pt idx="438">
                  <c:v>轻纺城</c:v>
                </c:pt>
                <c:pt idx="439">
                  <c:v>老凤祥</c:v>
                </c:pt>
                <c:pt idx="440">
                  <c:v>广电网络</c:v>
                </c:pt>
                <c:pt idx="441">
                  <c:v>保税科技</c:v>
                </c:pt>
                <c:pt idx="442">
                  <c:v>*ST油服</c:v>
                </c:pt>
                <c:pt idx="443">
                  <c:v>悦达投资</c:v>
                </c:pt>
                <c:pt idx="444">
                  <c:v>神奇制药</c:v>
                </c:pt>
                <c:pt idx="445">
                  <c:v>第一医药</c:v>
                </c:pt>
                <c:pt idx="446">
                  <c:v>国电电力</c:v>
                </c:pt>
                <c:pt idx="447">
                  <c:v>中炬高新</c:v>
                </c:pt>
                <c:pt idx="448">
                  <c:v>*ST天业</c:v>
                </c:pt>
                <c:pt idx="449">
                  <c:v>上海机电</c:v>
                </c:pt>
                <c:pt idx="450">
                  <c:v>鹏起科技</c:v>
                </c:pt>
                <c:pt idx="451">
                  <c:v>马钢股份</c:v>
                </c:pt>
                <c:pt idx="452">
                  <c:v>海通证券</c:v>
                </c:pt>
                <c:pt idx="453">
                  <c:v>金枫酒业</c:v>
                </c:pt>
                <c:pt idx="454">
                  <c:v>山西汾酒</c:v>
                </c:pt>
                <c:pt idx="455">
                  <c:v>上海九百</c:v>
                </c:pt>
                <c:pt idx="456">
                  <c:v>国新能源</c:v>
                </c:pt>
                <c:pt idx="457">
                  <c:v>四川长虹</c:v>
                </c:pt>
                <c:pt idx="458">
                  <c:v>梅花生物</c:v>
                </c:pt>
                <c:pt idx="459">
                  <c:v>氯碱化工</c:v>
                </c:pt>
                <c:pt idx="460">
                  <c:v>东方集团</c:v>
                </c:pt>
                <c:pt idx="461">
                  <c:v>惠而浦</c:v>
                </c:pt>
                <c:pt idx="462">
                  <c:v>长江电力</c:v>
                </c:pt>
                <c:pt idx="463">
                  <c:v>华安证券</c:v>
                </c:pt>
                <c:pt idx="464">
                  <c:v>淮北矿业</c:v>
                </c:pt>
                <c:pt idx="465">
                  <c:v>科达股份</c:v>
                </c:pt>
                <c:pt idx="466">
                  <c:v>创业环保</c:v>
                </c:pt>
                <c:pt idx="467">
                  <c:v>航民股份</c:v>
                </c:pt>
                <c:pt idx="468">
                  <c:v>东方电气</c:v>
                </c:pt>
                <c:pt idx="469">
                  <c:v>赤峰黄金</c:v>
                </c:pt>
                <c:pt idx="470">
                  <c:v>洛阳玻璃</c:v>
                </c:pt>
                <c:pt idx="471">
                  <c:v>四创电子</c:v>
                </c:pt>
                <c:pt idx="472">
                  <c:v>航天电子</c:v>
                </c:pt>
                <c:pt idx="473">
                  <c:v>马应龙</c:v>
                </c:pt>
                <c:pt idx="474">
                  <c:v>博瑞传播</c:v>
                </c:pt>
                <c:pt idx="475">
                  <c:v>重庆燃气</c:v>
                </c:pt>
                <c:pt idx="476">
                  <c:v>亚泰集团</c:v>
                </c:pt>
                <c:pt idx="477">
                  <c:v>广泽股份</c:v>
                </c:pt>
                <c:pt idx="478">
                  <c:v>文山电力</c:v>
                </c:pt>
                <c:pt idx="479">
                  <c:v>内蒙一机</c:v>
                </c:pt>
                <c:pt idx="480">
                  <c:v>中材国际</c:v>
                </c:pt>
                <c:pt idx="481">
                  <c:v>江苏银行</c:v>
                </c:pt>
                <c:pt idx="482">
                  <c:v>宝信软件</c:v>
                </c:pt>
                <c:pt idx="483">
                  <c:v>杭州解百</c:v>
                </c:pt>
                <c:pt idx="484">
                  <c:v>杭州银行</c:v>
                </c:pt>
                <c:pt idx="485">
                  <c:v>恒源煤电</c:v>
                </c:pt>
                <c:pt idx="486">
                  <c:v>同济科技</c:v>
                </c:pt>
                <c:pt idx="487">
                  <c:v>宝胜股份</c:v>
                </c:pt>
                <c:pt idx="488">
                  <c:v>华东电脑</c:v>
                </c:pt>
                <c:pt idx="489">
                  <c:v>新五丰</c:v>
                </c:pt>
                <c:pt idx="490">
                  <c:v>中天能源</c:v>
                </c:pt>
                <c:pt idx="491">
                  <c:v>健民集团</c:v>
                </c:pt>
                <c:pt idx="492">
                  <c:v>银座股份</c:v>
                </c:pt>
                <c:pt idx="493">
                  <c:v>中国电影</c:v>
                </c:pt>
                <c:pt idx="494">
                  <c:v>王府井</c:v>
                </c:pt>
                <c:pt idx="495">
                  <c:v>宜华生活</c:v>
                </c:pt>
                <c:pt idx="496">
                  <c:v>京城股份</c:v>
                </c:pt>
                <c:pt idx="497">
                  <c:v>贵广网络</c:v>
                </c:pt>
                <c:pt idx="498">
                  <c:v>广安爱众</c:v>
                </c:pt>
                <c:pt idx="499">
                  <c:v>中航高科</c:v>
                </c:pt>
                <c:pt idx="500">
                  <c:v>汇鸿集团</c:v>
                </c:pt>
                <c:pt idx="501">
                  <c:v>内蒙华电</c:v>
                </c:pt>
                <c:pt idx="502">
                  <c:v>哈投股份</c:v>
                </c:pt>
                <c:pt idx="503">
                  <c:v>通化东宝</c:v>
                </c:pt>
                <c:pt idx="504">
                  <c:v>智慧能源</c:v>
                </c:pt>
                <c:pt idx="505">
                  <c:v>安信信托</c:v>
                </c:pt>
                <c:pt idx="506">
                  <c:v>爱柯迪</c:v>
                </c:pt>
                <c:pt idx="507">
                  <c:v>开滦股份</c:v>
                </c:pt>
                <c:pt idx="508">
                  <c:v>东方证券</c:v>
                </c:pt>
                <c:pt idx="509">
                  <c:v>杉杉股份</c:v>
                </c:pt>
                <c:pt idx="510">
                  <c:v>江苏有线</c:v>
                </c:pt>
                <c:pt idx="511">
                  <c:v>宏发股份</c:v>
                </c:pt>
                <c:pt idx="512">
                  <c:v>国投电力</c:v>
                </c:pt>
                <c:pt idx="513">
                  <c:v>伊利股份</c:v>
                </c:pt>
                <c:pt idx="514">
                  <c:v>新疆众和</c:v>
                </c:pt>
                <c:pt idx="515">
                  <c:v>秋林集团</c:v>
                </c:pt>
                <c:pt idx="516">
                  <c:v>航发动力</c:v>
                </c:pt>
                <c:pt idx="517">
                  <c:v>广日股份</c:v>
                </c:pt>
                <c:pt idx="518">
                  <c:v>张江高科</c:v>
                </c:pt>
                <c:pt idx="519">
                  <c:v>厦门空港</c:v>
                </c:pt>
                <c:pt idx="520">
                  <c:v>中路股份</c:v>
                </c:pt>
                <c:pt idx="521">
                  <c:v>岳阳林纸</c:v>
                </c:pt>
                <c:pt idx="522">
                  <c:v>重庆钢铁</c:v>
                </c:pt>
                <c:pt idx="523">
                  <c:v>中国国航</c:v>
                </c:pt>
                <c:pt idx="524">
                  <c:v>深圳燃气</c:v>
                </c:pt>
                <c:pt idx="525">
                  <c:v>大秦铁路</c:v>
                </c:pt>
                <c:pt idx="526">
                  <c:v>新城控股</c:v>
                </c:pt>
                <c:pt idx="527">
                  <c:v>三江购物</c:v>
                </c:pt>
                <c:pt idx="528">
                  <c:v>隧道股份</c:v>
                </c:pt>
                <c:pt idx="529">
                  <c:v>南京银行</c:v>
                </c:pt>
                <c:pt idx="530">
                  <c:v>福成股份</c:v>
                </c:pt>
                <c:pt idx="531">
                  <c:v>重庆水务</c:v>
                </c:pt>
                <c:pt idx="532">
                  <c:v>文峰股份</c:v>
                </c:pt>
                <c:pt idx="533">
                  <c:v>三角轮胎</c:v>
                </c:pt>
                <c:pt idx="534">
                  <c:v>兴业银行</c:v>
                </c:pt>
                <c:pt idx="535">
                  <c:v>西部矿业</c:v>
                </c:pt>
                <c:pt idx="536">
                  <c:v>隆基股份</c:v>
                </c:pt>
                <c:pt idx="537">
                  <c:v>北京银行</c:v>
                </c:pt>
                <c:pt idx="538">
                  <c:v>陕西黑猫</c:v>
                </c:pt>
                <c:pt idx="539">
                  <c:v>中国西电</c:v>
                </c:pt>
                <c:pt idx="540">
                  <c:v>节能风电</c:v>
                </c:pt>
                <c:pt idx="541">
                  <c:v>中国铁建</c:v>
                </c:pt>
                <c:pt idx="542">
                  <c:v>宁波港</c:v>
                </c:pt>
                <c:pt idx="543">
                  <c:v>东兴证券</c:v>
                </c:pt>
                <c:pt idx="544">
                  <c:v>中铝国际</c:v>
                </c:pt>
                <c:pt idx="545">
                  <c:v>山东出版</c:v>
                </c:pt>
                <c:pt idx="546">
                  <c:v>江南水务</c:v>
                </c:pt>
                <c:pt idx="547">
                  <c:v>西部黄金</c:v>
                </c:pt>
                <c:pt idx="548">
                  <c:v>上海环境</c:v>
                </c:pt>
                <c:pt idx="549">
                  <c:v>中国神华</c:v>
                </c:pt>
                <c:pt idx="550">
                  <c:v>东材科技</c:v>
                </c:pt>
                <c:pt idx="551">
                  <c:v>中南传媒</c:v>
                </c:pt>
                <c:pt idx="552">
                  <c:v>国泰君安</c:v>
                </c:pt>
                <c:pt idx="553">
                  <c:v>白银有色</c:v>
                </c:pt>
                <c:pt idx="554">
                  <c:v>君正集团</c:v>
                </c:pt>
                <c:pt idx="555">
                  <c:v>吉鑫科技</c:v>
                </c:pt>
                <c:pt idx="556">
                  <c:v>林洋能源</c:v>
                </c:pt>
                <c:pt idx="557">
                  <c:v>陕西煤业</c:v>
                </c:pt>
                <c:pt idx="558">
                  <c:v>华电重工</c:v>
                </c:pt>
                <c:pt idx="559">
                  <c:v>华钰矿业</c:v>
                </c:pt>
                <c:pt idx="560">
                  <c:v>春秋航空</c:v>
                </c:pt>
                <c:pt idx="561">
                  <c:v>一拖股份</c:v>
                </c:pt>
                <c:pt idx="562">
                  <c:v>赛轮轮胎</c:v>
                </c:pt>
                <c:pt idx="563">
                  <c:v>中信建投</c:v>
                </c:pt>
                <c:pt idx="564">
                  <c:v>太平洋</c:v>
                </c:pt>
                <c:pt idx="565">
                  <c:v>恒立液压</c:v>
                </c:pt>
                <c:pt idx="566">
                  <c:v>昊华能源</c:v>
                </c:pt>
                <c:pt idx="567">
                  <c:v>中国一重</c:v>
                </c:pt>
                <c:pt idx="568">
                  <c:v>四川成渝</c:v>
                </c:pt>
                <c:pt idx="569">
                  <c:v>财通证券</c:v>
                </c:pt>
                <c:pt idx="570">
                  <c:v>世茂股份</c:v>
                </c:pt>
                <c:pt idx="571">
                  <c:v>九州通</c:v>
                </c:pt>
                <c:pt idx="572">
                  <c:v>益民集团</c:v>
                </c:pt>
                <c:pt idx="573">
                  <c:v>中国化学</c:v>
                </c:pt>
                <c:pt idx="574">
                  <c:v>新华传媒</c:v>
                </c:pt>
                <c:pt idx="575">
                  <c:v>招商证券</c:v>
                </c:pt>
                <c:pt idx="576">
                  <c:v>中国核建</c:v>
                </c:pt>
                <c:pt idx="577">
                  <c:v>兰生股份</c:v>
                </c:pt>
                <c:pt idx="578">
                  <c:v>百隆东方</c:v>
                </c:pt>
                <c:pt idx="579">
                  <c:v>中国中冶</c:v>
                </c:pt>
                <c:pt idx="580">
                  <c:v>百联股份</c:v>
                </c:pt>
                <c:pt idx="581">
                  <c:v>绿城水务</c:v>
                </c:pt>
                <c:pt idx="582">
                  <c:v>茂业商业</c:v>
                </c:pt>
                <c:pt idx="583">
                  <c:v>新华保险</c:v>
                </c:pt>
                <c:pt idx="584">
                  <c:v>陕鼓动力</c:v>
                </c:pt>
                <c:pt idx="585">
                  <c:v>三六零</c:v>
                </c:pt>
                <c:pt idx="586">
                  <c:v>中原证券</c:v>
                </c:pt>
                <c:pt idx="587">
                  <c:v>兴业证券</c:v>
                </c:pt>
                <c:pt idx="588">
                  <c:v>美凯龙</c:v>
                </c:pt>
                <c:pt idx="589">
                  <c:v>成都银行</c:v>
                </c:pt>
                <c:pt idx="590">
                  <c:v>怡球资源</c:v>
                </c:pt>
                <c:pt idx="591">
                  <c:v>中国石油</c:v>
                </c:pt>
                <c:pt idx="592">
                  <c:v>中国科传</c:v>
                </c:pt>
                <c:pt idx="593">
                  <c:v>中国中铁</c:v>
                </c:pt>
                <c:pt idx="594">
                  <c:v>中远海发</c:v>
                </c:pt>
                <c:pt idx="595">
                  <c:v>工商银行</c:v>
                </c:pt>
                <c:pt idx="596">
                  <c:v>长飞光纤</c:v>
                </c:pt>
                <c:pt idx="597">
                  <c:v>东风股份</c:v>
                </c:pt>
                <c:pt idx="598">
                  <c:v>东吴证券</c:v>
                </c:pt>
                <c:pt idx="599">
                  <c:v>九牧王</c:v>
                </c:pt>
                <c:pt idx="600">
                  <c:v>三星医疗</c:v>
                </c:pt>
                <c:pt idx="601">
                  <c:v>招商轮船</c:v>
                </c:pt>
                <c:pt idx="602">
                  <c:v>北辰实业</c:v>
                </c:pt>
                <c:pt idx="603">
                  <c:v>中国人寿</c:v>
                </c:pt>
                <c:pt idx="604">
                  <c:v>唐山港</c:v>
                </c:pt>
                <c:pt idx="605">
                  <c:v>海南橡胶</c:v>
                </c:pt>
                <c:pt idx="606">
                  <c:v>正泰电器</c:v>
                </c:pt>
                <c:pt idx="607">
                  <c:v>大同煤业</c:v>
                </c:pt>
                <c:pt idx="608">
                  <c:v>四方股份</c:v>
                </c:pt>
                <c:pt idx="609">
                  <c:v>晋亿实业</c:v>
                </c:pt>
                <c:pt idx="610">
                  <c:v>小康股份</c:v>
                </c:pt>
                <c:pt idx="611">
                  <c:v>柳钢股份</c:v>
                </c:pt>
                <c:pt idx="612">
                  <c:v>常熟银行</c:v>
                </c:pt>
                <c:pt idx="613">
                  <c:v>广州港</c:v>
                </c:pt>
                <c:pt idx="614">
                  <c:v>上海银行</c:v>
                </c:pt>
                <c:pt idx="615">
                  <c:v>环旭电子</c:v>
                </c:pt>
                <c:pt idx="616">
                  <c:v>金隅集团</c:v>
                </c:pt>
                <c:pt idx="617">
                  <c:v>桐昆股份</c:v>
                </c:pt>
                <c:pt idx="618">
                  <c:v>长城汽车</c:v>
                </c:pt>
                <c:pt idx="619">
                  <c:v>上海电影</c:v>
                </c:pt>
                <c:pt idx="620">
                  <c:v>浙商证券</c:v>
                </c:pt>
                <c:pt idx="621">
                  <c:v>中国铝业</c:v>
                </c:pt>
                <c:pt idx="622">
                  <c:v>大连港</c:v>
                </c:pt>
                <c:pt idx="623">
                  <c:v>中国太保</c:v>
                </c:pt>
                <c:pt idx="624">
                  <c:v>中国银河</c:v>
                </c:pt>
                <c:pt idx="625">
                  <c:v>上海医药</c:v>
                </c:pt>
                <c:pt idx="626">
                  <c:v>江河集团</c:v>
                </c:pt>
                <c:pt idx="627">
                  <c:v>中信重工</c:v>
                </c:pt>
                <c:pt idx="628">
                  <c:v>旗滨集团</c:v>
                </c:pt>
                <c:pt idx="629">
                  <c:v>中国国旅</c:v>
                </c:pt>
                <c:pt idx="630">
                  <c:v>亚星锚链</c:v>
                </c:pt>
                <c:pt idx="631">
                  <c:v>中煤能源</c:v>
                </c:pt>
                <c:pt idx="632">
                  <c:v>紫金矿业</c:v>
                </c:pt>
                <c:pt idx="633">
                  <c:v>中海油服</c:v>
                </c:pt>
                <c:pt idx="634">
                  <c:v>丰林集团</c:v>
                </c:pt>
                <c:pt idx="635">
                  <c:v>新集能源</c:v>
                </c:pt>
                <c:pt idx="636">
                  <c:v>贵阳银行</c:v>
                </c:pt>
                <c:pt idx="637">
                  <c:v>中远海控</c:v>
                </c:pt>
                <c:pt idx="638">
                  <c:v>中信银行</c:v>
                </c:pt>
                <c:pt idx="639">
                  <c:v>凤凰传媒</c:v>
                </c:pt>
                <c:pt idx="640">
                  <c:v>人民网</c:v>
                </c:pt>
                <c:pt idx="641">
                  <c:v>吉视传媒</c:v>
                </c:pt>
                <c:pt idx="642">
                  <c:v>永辉超市</c:v>
                </c:pt>
                <c:pt idx="643">
                  <c:v>建设银行</c:v>
                </c:pt>
                <c:pt idx="644">
                  <c:v>金钼股份</c:v>
                </c:pt>
                <c:pt idx="645">
                  <c:v>方正证券</c:v>
                </c:pt>
                <c:pt idx="646">
                  <c:v>京运通</c:v>
                </c:pt>
                <c:pt idx="647">
                  <c:v>中国重工</c:v>
                </c:pt>
                <c:pt idx="648">
                  <c:v>大唐发电</c:v>
                </c:pt>
                <c:pt idx="649">
                  <c:v>奥康国际</c:v>
                </c:pt>
                <c:pt idx="650">
                  <c:v>晶方科技</c:v>
                </c:pt>
                <c:pt idx="651">
                  <c:v>花王股份</c:v>
                </c:pt>
                <c:pt idx="652">
                  <c:v>喜临门</c:v>
                </c:pt>
                <c:pt idx="653">
                  <c:v>中国汽研</c:v>
                </c:pt>
                <c:pt idx="654">
                  <c:v>北特科技</c:v>
                </c:pt>
                <c:pt idx="655">
                  <c:v>玲珑轮胎</c:v>
                </c:pt>
                <c:pt idx="656">
                  <c:v>中科曙光</c:v>
                </c:pt>
                <c:pt idx="657">
                  <c:v>宝钢包装</c:v>
                </c:pt>
                <c:pt idx="658">
                  <c:v>大豪科技</c:v>
                </c:pt>
                <c:pt idx="659">
                  <c:v>广汽集团</c:v>
                </c:pt>
                <c:pt idx="660">
                  <c:v>德邦股份</c:v>
                </c:pt>
                <c:pt idx="661">
                  <c:v>海南矿业</c:v>
                </c:pt>
                <c:pt idx="662">
                  <c:v>国检集团</c:v>
                </c:pt>
                <c:pt idx="663">
                  <c:v>中国核电</c:v>
                </c:pt>
                <c:pt idx="664">
                  <c:v>和邦生物</c:v>
                </c:pt>
                <c:pt idx="665">
                  <c:v>庞大集团</c:v>
                </c:pt>
                <c:pt idx="666">
                  <c:v>新疆火炬</c:v>
                </c:pt>
                <c:pt idx="667">
                  <c:v>农业银行</c:v>
                </c:pt>
                <c:pt idx="668">
                  <c:v>骆驼股份</c:v>
                </c:pt>
                <c:pt idx="669">
                  <c:v>中国平安</c:v>
                </c:pt>
                <c:pt idx="670">
                  <c:v>秦港股份</c:v>
                </c:pt>
                <c:pt idx="671">
                  <c:v>交通银行</c:v>
                </c:pt>
                <c:pt idx="672">
                  <c:v>绿色动力</c:v>
                </c:pt>
                <c:pt idx="673">
                  <c:v>广深铁路</c:v>
                </c:pt>
                <c:pt idx="674">
                  <c:v>禾丰牧业</c:v>
                </c:pt>
                <c:pt idx="675">
                  <c:v>康尼机电</c:v>
                </c:pt>
                <c:pt idx="676">
                  <c:v>金能科技</c:v>
                </c:pt>
                <c:pt idx="677">
                  <c:v>红蜻蜓</c:v>
                </c:pt>
                <c:pt idx="678">
                  <c:v>共进股份</c:v>
                </c:pt>
                <c:pt idx="679">
                  <c:v>中国银行</c:v>
                </c:pt>
                <c:pt idx="680">
                  <c:v>中材节能</c:v>
                </c:pt>
                <c:pt idx="681">
                  <c:v>新华文轩</c:v>
                </c:pt>
                <c:pt idx="682">
                  <c:v>华贸物流</c:v>
                </c:pt>
                <c:pt idx="683">
                  <c:v>光大银行</c:v>
                </c:pt>
                <c:pt idx="684">
                  <c:v>拉夏贝尔</c:v>
                </c:pt>
                <c:pt idx="685">
                  <c:v>汇顶科技</c:v>
                </c:pt>
                <c:pt idx="686">
                  <c:v>荣晟环保</c:v>
                </c:pt>
                <c:pt idx="687">
                  <c:v>渤海轮渡</c:v>
                </c:pt>
                <c:pt idx="688">
                  <c:v>莎普爱思</c:v>
                </c:pt>
                <c:pt idx="689">
                  <c:v>吉比特</c:v>
                </c:pt>
                <c:pt idx="690">
                  <c:v>合盛硅业</c:v>
                </c:pt>
                <c:pt idx="691">
                  <c:v>兰石重装</c:v>
                </c:pt>
                <c:pt idx="692">
                  <c:v>思维列控</c:v>
                </c:pt>
                <c:pt idx="693">
                  <c:v>海天味业</c:v>
                </c:pt>
                <c:pt idx="694">
                  <c:v>杭叉集团</c:v>
                </c:pt>
                <c:pt idx="695">
                  <c:v>华铁科技</c:v>
                </c:pt>
                <c:pt idx="696">
                  <c:v>旭升股份</c:v>
                </c:pt>
                <c:pt idx="697">
                  <c:v>华懋科技</c:v>
                </c:pt>
                <c:pt idx="698">
                  <c:v>应流股份</c:v>
                </c:pt>
                <c:pt idx="699">
                  <c:v>依顿电子</c:v>
                </c:pt>
                <c:pt idx="700">
                  <c:v>杰克股份</c:v>
                </c:pt>
                <c:pt idx="701">
                  <c:v>浙江鼎力</c:v>
                </c:pt>
                <c:pt idx="702">
                  <c:v>金牌厨柜</c:v>
                </c:pt>
                <c:pt idx="703">
                  <c:v>四方科技</c:v>
                </c:pt>
                <c:pt idx="704">
                  <c:v>欧普照明</c:v>
                </c:pt>
                <c:pt idx="705">
                  <c:v>莱克电气</c:v>
                </c:pt>
                <c:pt idx="706">
                  <c:v>绝味食品</c:v>
                </c:pt>
                <c:pt idx="707">
                  <c:v>设计总院</c:v>
                </c:pt>
                <c:pt idx="708">
                  <c:v>多伦科技</c:v>
                </c:pt>
                <c:pt idx="709">
                  <c:v>华达科技</c:v>
                </c:pt>
                <c:pt idx="710">
                  <c:v>掌阅科技</c:v>
                </c:pt>
                <c:pt idx="711">
                  <c:v>傲农生物</c:v>
                </c:pt>
                <c:pt idx="712">
                  <c:v>贵人鸟</c:v>
                </c:pt>
                <c:pt idx="713">
                  <c:v>亚邦股份</c:v>
                </c:pt>
                <c:pt idx="714">
                  <c:v>迎驾贡酒</c:v>
                </c:pt>
                <c:pt idx="715">
                  <c:v>海兴电力</c:v>
                </c:pt>
                <c:pt idx="716">
                  <c:v>新凤鸣</c:v>
                </c:pt>
                <c:pt idx="717">
                  <c:v>珍宝岛</c:v>
                </c:pt>
                <c:pt idx="718">
                  <c:v>景旺电子</c:v>
                </c:pt>
                <c:pt idx="719">
                  <c:v>伟明环保</c:v>
                </c:pt>
                <c:pt idx="720">
                  <c:v>大参林</c:v>
                </c:pt>
                <c:pt idx="721">
                  <c:v>长久物流</c:v>
                </c:pt>
                <c:pt idx="722">
                  <c:v>浙江仙通</c:v>
                </c:pt>
                <c:pt idx="723">
                  <c:v>荣泰健康</c:v>
                </c:pt>
                <c:pt idx="724">
                  <c:v>电魂网络</c:v>
                </c:pt>
                <c:pt idx="725">
                  <c:v>苏利股份</c:v>
                </c:pt>
                <c:pt idx="726">
                  <c:v>高能环境</c:v>
                </c:pt>
                <c:pt idx="727">
                  <c:v>口子窖</c:v>
                </c:pt>
                <c:pt idx="728">
                  <c:v>东尼电子</c:v>
                </c:pt>
                <c:pt idx="729">
                  <c:v>鼎信通讯</c:v>
                </c:pt>
                <c:pt idx="730">
                  <c:v>索通发展</c:v>
                </c:pt>
                <c:pt idx="731">
                  <c:v>韩建河山</c:v>
                </c:pt>
                <c:pt idx="732">
                  <c:v>杭电股份</c:v>
                </c:pt>
                <c:pt idx="733">
                  <c:v>中曼石油</c:v>
                </c:pt>
                <c:pt idx="734">
                  <c:v>科森科技</c:v>
                </c:pt>
                <c:pt idx="735">
                  <c:v>平煤股份</c:v>
                </c:pt>
                <c:pt idx="736">
                  <c:v>森特股份</c:v>
                </c:pt>
                <c:pt idx="737">
                  <c:v>中国建筑</c:v>
                </c:pt>
                <c:pt idx="738">
                  <c:v>中国电建</c:v>
                </c:pt>
                <c:pt idx="739">
                  <c:v>日出东方</c:v>
                </c:pt>
                <c:pt idx="740">
                  <c:v>滨化股份</c:v>
                </c:pt>
                <c:pt idx="741">
                  <c:v>华泰证券</c:v>
                </c:pt>
                <c:pt idx="742">
                  <c:v>拓普集团</c:v>
                </c:pt>
                <c:pt idx="743">
                  <c:v>潞安环能</c:v>
                </c:pt>
                <c:pt idx="744">
                  <c:v>风范股份</c:v>
                </c:pt>
                <c:pt idx="745">
                  <c:v>郑煤机</c:v>
                </c:pt>
                <c:pt idx="746">
                  <c:v>际华集团</c:v>
                </c:pt>
                <c:pt idx="747">
                  <c:v>上海电气</c:v>
                </c:pt>
                <c:pt idx="748">
                  <c:v>中国中车</c:v>
                </c:pt>
                <c:pt idx="749">
                  <c:v>力帆股份</c:v>
                </c:pt>
                <c:pt idx="750">
                  <c:v>光大证券</c:v>
                </c:pt>
                <c:pt idx="751">
                  <c:v>宁波建工</c:v>
                </c:pt>
                <c:pt idx="752">
                  <c:v>*ST蓝科</c:v>
                </c:pt>
                <c:pt idx="753">
                  <c:v>星宇股份</c:v>
                </c:pt>
                <c:pt idx="754">
                  <c:v>中国交建</c:v>
                </c:pt>
                <c:pt idx="755">
                  <c:v>皖新传媒</c:v>
                </c:pt>
                <c:pt idx="756">
                  <c:v>广信股份</c:v>
                </c:pt>
                <c:pt idx="757">
                  <c:v>永艺股份</c:v>
                </c:pt>
                <c:pt idx="758">
                  <c:v>博天环境</c:v>
                </c:pt>
                <c:pt idx="759">
                  <c:v>清源股份</c:v>
                </c:pt>
                <c:pt idx="760">
                  <c:v>横店影视</c:v>
                </c:pt>
                <c:pt idx="761">
                  <c:v>柳药股份</c:v>
                </c:pt>
                <c:pt idx="762">
                  <c:v>健友股份</c:v>
                </c:pt>
                <c:pt idx="763">
                  <c:v>吉祥航空</c:v>
                </c:pt>
                <c:pt idx="764">
                  <c:v>香飘飘</c:v>
                </c:pt>
                <c:pt idx="765">
                  <c:v>新华网</c:v>
                </c:pt>
                <c:pt idx="766">
                  <c:v>好莱客</c:v>
                </c:pt>
                <c:pt idx="767">
                  <c:v>恒银金融</c:v>
                </c:pt>
                <c:pt idx="768">
                  <c:v>海利尔</c:v>
                </c:pt>
                <c:pt idx="769">
                  <c:v>今世缘</c:v>
                </c:pt>
                <c:pt idx="770">
                  <c:v>安图生物</c:v>
                </c:pt>
                <c:pt idx="771">
                  <c:v>博迈科</c:v>
                </c:pt>
                <c:pt idx="772">
                  <c:v>璞泰来</c:v>
                </c:pt>
                <c:pt idx="773">
                  <c:v>鸣志电器</c:v>
                </c:pt>
                <c:pt idx="774">
                  <c:v>苏州科达</c:v>
                </c:pt>
                <c:pt idx="775">
                  <c:v>岱美股份</c:v>
                </c:pt>
                <c:pt idx="776">
                  <c:v>灵康药业</c:v>
                </c:pt>
                <c:pt idx="777">
                  <c:v>三棵树</c:v>
                </c:pt>
                <c:pt idx="778">
                  <c:v>龙马环卫</c:v>
                </c:pt>
                <c:pt idx="779">
                  <c:v>大元泵业</c:v>
                </c:pt>
                <c:pt idx="780">
                  <c:v>航天工程</c:v>
                </c:pt>
                <c:pt idx="781">
                  <c:v>隆鑫通用</c:v>
                </c:pt>
                <c:pt idx="782">
                  <c:v>润达医疗</c:v>
                </c:pt>
                <c:pt idx="783">
                  <c:v>纽威股份</c:v>
                </c:pt>
                <c:pt idx="784">
                  <c:v>天永智能</c:v>
                </c:pt>
                <c:pt idx="785">
                  <c:v>基蛋生物</c:v>
                </c:pt>
                <c:pt idx="786">
                  <c:v>永安行</c:v>
                </c:pt>
                <c:pt idx="787">
                  <c:v>吉翔股份</c:v>
                </c:pt>
                <c:pt idx="788">
                  <c:v>桃李面包</c:v>
                </c:pt>
                <c:pt idx="789">
                  <c:v>晨光文具</c:v>
                </c:pt>
                <c:pt idx="790">
                  <c:v>飞科电器</c:v>
                </c:pt>
                <c:pt idx="791">
                  <c:v>太平鸟</c:v>
                </c:pt>
                <c:pt idx="792">
                  <c:v>亚翔集成</c:v>
                </c:pt>
                <c:pt idx="793">
                  <c:v>数据港</c:v>
                </c:pt>
                <c:pt idx="794">
                  <c:v>老百姓</c:v>
                </c:pt>
                <c:pt idx="795">
                  <c:v>益丰药房</c:v>
                </c:pt>
                <c:pt idx="796">
                  <c:v>百利科技</c:v>
                </c:pt>
                <c:pt idx="797">
                  <c:v>金诚信</c:v>
                </c:pt>
                <c:pt idx="798">
                  <c:v>艾华集团</c:v>
                </c:pt>
                <c:pt idx="799">
                  <c:v>洛阳钼业</c:v>
                </c:pt>
                <c:pt idx="800">
                  <c:v>继峰股份</c:v>
                </c:pt>
                <c:pt idx="801">
                  <c:v>来伊份</c:v>
                </c:pt>
                <c:pt idx="802">
                  <c:v>康普顿</c:v>
                </c:pt>
                <c:pt idx="803">
                  <c:v>华友钴业</c:v>
                </c:pt>
                <c:pt idx="804">
                  <c:v>瑞斯康达</c:v>
                </c:pt>
                <c:pt idx="805">
                  <c:v>福斯特</c:v>
                </c:pt>
                <c:pt idx="806">
                  <c:v>顾家家居</c:v>
                </c:pt>
                <c:pt idx="807">
                  <c:v>曲美家居</c:v>
                </c:pt>
                <c:pt idx="808">
                  <c:v>欧派家居</c:v>
                </c:pt>
                <c:pt idx="809">
                  <c:v>好太太</c:v>
                </c:pt>
                <c:pt idx="810">
                  <c:v>步长制药</c:v>
                </c:pt>
                <c:pt idx="811">
                  <c:v>白云电器</c:v>
                </c:pt>
              </c:strCache>
            </c:strRef>
          </c:xVal>
          <c:yVal>
            <c:numRef>
              <c:f>[沪股通持股.xlsx]万得!$F$2:$F$815</c:f>
              <c:numCache>
                <c:formatCode>#,##0.0000</c:formatCode>
                <c:ptCount val="814"/>
                <c:pt idx="0">
                  <c:v>1.0735592142539228</c:v>
                </c:pt>
                <c:pt idx="1">
                  <c:v>0.42636610000000463</c:v>
                </c:pt>
                <c:pt idx="2">
                  <c:v>0.11133948225546739</c:v>
                </c:pt>
                <c:pt idx="3">
                  <c:v>1.4898907563025048</c:v>
                </c:pt>
                <c:pt idx="4">
                  <c:v>4.2646044599693886E-2</c:v>
                </c:pt>
                <c:pt idx="5">
                  <c:v>4.4831205179791569</c:v>
                </c:pt>
                <c:pt idx="6">
                  <c:v>1.2416932595011299</c:v>
                </c:pt>
                <c:pt idx="7">
                  <c:v>5.3623866489145655</c:v>
                </c:pt>
                <c:pt idx="8">
                  <c:v>1.9915726590963401</c:v>
                </c:pt>
                <c:pt idx="9">
                  <c:v>1.4552213013950503</c:v>
                </c:pt>
                <c:pt idx="10">
                  <c:v>0.56899756971505056</c:v>
                </c:pt>
                <c:pt idx="11">
                  <c:v>5.8449409530492265</c:v>
                </c:pt>
                <c:pt idx="12">
                  <c:v>0.20615599038041121</c:v>
                </c:pt>
                <c:pt idx="13">
                  <c:v>0.59412459841918064</c:v>
                </c:pt>
                <c:pt idx="14">
                  <c:v>0.47001718750000032</c:v>
                </c:pt>
                <c:pt idx="15">
                  <c:v>12.038126305872748</c:v>
                </c:pt>
                <c:pt idx="16">
                  <c:v>7.9295924905306098E-2</c:v>
                </c:pt>
                <c:pt idx="17">
                  <c:v>0.91693396275719918</c:v>
                </c:pt>
                <c:pt idx="18">
                  <c:v>0.31212853942891688</c:v>
                </c:pt>
                <c:pt idx="19">
                  <c:v>13.424169195666709</c:v>
                </c:pt>
                <c:pt idx="20">
                  <c:v>1.6580347219739909E-2</c:v>
                </c:pt>
                <c:pt idx="21">
                  <c:v>0.13973288110352691</c:v>
                </c:pt>
                <c:pt idx="22">
                  <c:v>1.4011990643207104</c:v>
                </c:pt>
                <c:pt idx="23">
                  <c:v>0.11043871285439438</c:v>
                </c:pt>
                <c:pt idx="24">
                  <c:v>3.1023524841354977</c:v>
                </c:pt>
                <c:pt idx="25">
                  <c:v>0.70793477204479771</c:v>
                </c:pt>
                <c:pt idx="26">
                  <c:v>1.5595446891526739</c:v>
                </c:pt>
                <c:pt idx="27">
                  <c:v>0.14635321422428665</c:v>
                </c:pt>
                <c:pt idx="28">
                  <c:v>2.7750707163184216E-2</c:v>
                </c:pt>
                <c:pt idx="29">
                  <c:v>6.5888934392665813E-2</c:v>
                </c:pt>
                <c:pt idx="30">
                  <c:v>2.7863294604253452</c:v>
                </c:pt>
                <c:pt idx="31">
                  <c:v>0.20143100055355859</c:v>
                </c:pt>
                <c:pt idx="32">
                  <c:v>0.12569927276353265</c:v>
                </c:pt>
                <c:pt idx="33">
                  <c:v>0.52184911066106165</c:v>
                </c:pt>
                <c:pt idx="34">
                  <c:v>1.0717410877459017</c:v>
                </c:pt>
                <c:pt idx="35">
                  <c:v>0.27028140490502972</c:v>
                </c:pt>
                <c:pt idx="36">
                  <c:v>0.38946008465755677</c:v>
                </c:pt>
                <c:pt idx="37">
                  <c:v>1.5932771554616423</c:v>
                </c:pt>
                <c:pt idx="38">
                  <c:v>0.11312174095277833</c:v>
                </c:pt>
                <c:pt idx="39">
                  <c:v>1.6955232920544234</c:v>
                </c:pt>
                <c:pt idx="40">
                  <c:v>0.69227055510679569</c:v>
                </c:pt>
                <c:pt idx="41">
                  <c:v>0.25942079730443696</c:v>
                </c:pt>
                <c:pt idx="42">
                  <c:v>1.0101606364311781E-3</c:v>
                </c:pt>
                <c:pt idx="43">
                  <c:v>1.1775494127648481E-3</c:v>
                </c:pt>
                <c:pt idx="44">
                  <c:v>0.16838727153795321</c:v>
                </c:pt>
                <c:pt idx="45">
                  <c:v>0.84434177633989083</c:v>
                </c:pt>
                <c:pt idx="46">
                  <c:v>0.40275053416675966</c:v>
                </c:pt>
                <c:pt idx="47">
                  <c:v>1.9217648643218282E-3</c:v>
                </c:pt>
                <c:pt idx="48">
                  <c:v>4.4149029956403914E-2</c:v>
                </c:pt>
                <c:pt idx="49">
                  <c:v>0.37010183032189337</c:v>
                </c:pt>
                <c:pt idx="50">
                  <c:v>1.3609541745135299E-3</c:v>
                </c:pt>
                <c:pt idx="51">
                  <c:v>1.0750515783652273E-3</c:v>
                </c:pt>
                <c:pt idx="52">
                  <c:v>0.21356143351115708</c:v>
                </c:pt>
                <c:pt idx="53">
                  <c:v>2.4644789485566911</c:v>
                </c:pt>
                <c:pt idx="54">
                  <c:v>6.0693033855027848E-2</c:v>
                </c:pt>
                <c:pt idx="55">
                  <c:v>1.2495495811416326</c:v>
                </c:pt>
                <c:pt idx="56">
                  <c:v>2.518326551992808</c:v>
                </c:pt>
                <c:pt idx="57">
                  <c:v>0.14769588289751698</c:v>
                </c:pt>
                <c:pt idx="58">
                  <c:v>0.58005044656800675</c:v>
                </c:pt>
                <c:pt idx="59">
                  <c:v>6.7212926889921194</c:v>
                </c:pt>
                <c:pt idx="60">
                  <c:v>0.20354654608967673</c:v>
                </c:pt>
                <c:pt idx="61">
                  <c:v>5.3121772850467229E-2</c:v>
                </c:pt>
                <c:pt idx="62">
                  <c:v>4.1409010600706713E-3</c:v>
                </c:pt>
                <c:pt idx="63">
                  <c:v>0.27636181214230582</c:v>
                </c:pt>
                <c:pt idx="64">
                  <c:v>28.145704456389829</c:v>
                </c:pt>
                <c:pt idx="65">
                  <c:v>1.1936348679698939E-2</c:v>
                </c:pt>
                <c:pt idx="66">
                  <c:v>0.16901454267125909</c:v>
                </c:pt>
                <c:pt idx="67">
                  <c:v>0.10292208716611752</c:v>
                </c:pt>
                <c:pt idx="68">
                  <c:v>0.81043180155731409</c:v>
                </c:pt>
                <c:pt idx="69">
                  <c:v>7.7035174329019587E-2</c:v>
                </c:pt>
                <c:pt idx="70">
                  <c:v>0.60257886947897965</c:v>
                </c:pt>
                <c:pt idx="71">
                  <c:v>0.16192569633667903</c:v>
                </c:pt>
                <c:pt idx="72">
                  <c:v>0.21305530253741442</c:v>
                </c:pt>
                <c:pt idx="73">
                  <c:v>5.2953838219169883E-3</c:v>
                </c:pt>
                <c:pt idx="74">
                  <c:v>0.69142260873805639</c:v>
                </c:pt>
                <c:pt idx="75">
                  <c:v>1.5463873638162904E-2</c:v>
                </c:pt>
                <c:pt idx="76">
                  <c:v>0.19650010219410091</c:v>
                </c:pt>
                <c:pt idx="77">
                  <c:v>5.6048129977289765E-2</c:v>
                </c:pt>
                <c:pt idx="78">
                  <c:v>2.7824208897482543</c:v>
                </c:pt>
                <c:pt idx="79">
                  <c:v>0.91189708363573163</c:v>
                </c:pt>
                <c:pt idx="80">
                  <c:v>8.9928748814475726E-2</c:v>
                </c:pt>
                <c:pt idx="81">
                  <c:v>0.24037257867294462</c:v>
                </c:pt>
                <c:pt idx="82">
                  <c:v>0.69239148921788263</c:v>
                </c:pt>
                <c:pt idx="83">
                  <c:v>1.8158412208994848E-2</c:v>
                </c:pt>
                <c:pt idx="84">
                  <c:v>0.55508408155521149</c:v>
                </c:pt>
                <c:pt idx="85">
                  <c:v>0.23423876411707889</c:v>
                </c:pt>
                <c:pt idx="86">
                  <c:v>0.27816894285714538</c:v>
                </c:pt>
                <c:pt idx="87">
                  <c:v>0.59099202127659578</c:v>
                </c:pt>
                <c:pt idx="88">
                  <c:v>1.5451423557474668</c:v>
                </c:pt>
                <c:pt idx="89">
                  <c:v>9.8488849631673437E-6</c:v>
                </c:pt>
                <c:pt idx="90">
                  <c:v>0.56898687113501967</c:v>
                </c:pt>
                <c:pt idx="91">
                  <c:v>0.82655252428852233</c:v>
                </c:pt>
                <c:pt idx="92">
                  <c:v>0.11579551226188531</c:v>
                </c:pt>
                <c:pt idx="93">
                  <c:v>0.21410125429008034</c:v>
                </c:pt>
                <c:pt idx="94">
                  <c:v>0.38335707942232738</c:v>
                </c:pt>
                <c:pt idx="95">
                  <c:v>3.1379464190705905E-2</c:v>
                </c:pt>
                <c:pt idx="96">
                  <c:v>1.0639234810221487</c:v>
                </c:pt>
                <c:pt idx="97">
                  <c:v>1.3216471407888206</c:v>
                </c:pt>
                <c:pt idx="98">
                  <c:v>0.55143450816949069</c:v>
                </c:pt>
                <c:pt idx="99">
                  <c:v>0.63211019026996729</c:v>
                </c:pt>
                <c:pt idx="100">
                  <c:v>0.80142724031758872</c:v>
                </c:pt>
                <c:pt idx="101">
                  <c:v>1.7180176447361721</c:v>
                </c:pt>
                <c:pt idx="102">
                  <c:v>0.37870981294106681</c:v>
                </c:pt>
                <c:pt idx="103">
                  <c:v>4.9765692093539475E-2</c:v>
                </c:pt>
                <c:pt idx="104">
                  <c:v>1.7041209105563773</c:v>
                </c:pt>
                <c:pt idx="105">
                  <c:v>0.15259502962873989</c:v>
                </c:pt>
                <c:pt idx="106">
                  <c:v>1.1819306178055744</c:v>
                </c:pt>
                <c:pt idx="107">
                  <c:v>6.8403179655627588E-2</c:v>
                </c:pt>
                <c:pt idx="108">
                  <c:v>0.44570165741927326</c:v>
                </c:pt>
                <c:pt idx="109">
                  <c:v>4.9612674689732744E-3</c:v>
                </c:pt>
                <c:pt idx="110">
                  <c:v>0.10371318885860629</c:v>
                </c:pt>
                <c:pt idx="111">
                  <c:v>2.5276327263710012</c:v>
                </c:pt>
                <c:pt idx="112">
                  <c:v>1.2935537190082665E-2</c:v>
                </c:pt>
                <c:pt idx="113">
                  <c:v>1.501439872893979E-2</c:v>
                </c:pt>
                <c:pt idx="114">
                  <c:v>5.8206871198798735</c:v>
                </c:pt>
                <c:pt idx="115">
                  <c:v>1.3775740463236172</c:v>
                </c:pt>
                <c:pt idx="116">
                  <c:v>0.29352890812596716</c:v>
                </c:pt>
                <c:pt idx="117">
                  <c:v>0.68675815329696976</c:v>
                </c:pt>
                <c:pt idx="118">
                  <c:v>1.5237761766731879</c:v>
                </c:pt>
                <c:pt idx="119">
                  <c:v>0.22220573148484671</c:v>
                </c:pt>
                <c:pt idx="120">
                  <c:v>0.43292952967363113</c:v>
                </c:pt>
                <c:pt idx="121">
                  <c:v>1.2938375714956403</c:v>
                </c:pt>
                <c:pt idx="122">
                  <c:v>0.79235020655973365</c:v>
                </c:pt>
                <c:pt idx="123">
                  <c:v>1.114006672499681E-3</c:v>
                </c:pt>
                <c:pt idx="124">
                  <c:v>0.32736160141856191</c:v>
                </c:pt>
                <c:pt idx="125">
                  <c:v>0.11036461501882835</c:v>
                </c:pt>
                <c:pt idx="126">
                  <c:v>0.10686864289899962</c:v>
                </c:pt>
                <c:pt idx="127">
                  <c:v>1.1973356540566682</c:v>
                </c:pt>
                <c:pt idx="128">
                  <c:v>0.73369155343302483</c:v>
                </c:pt>
                <c:pt idx="129">
                  <c:v>0.86524430333060764</c:v>
                </c:pt>
                <c:pt idx="130">
                  <c:v>1.4443550484237155</c:v>
                </c:pt>
                <c:pt idx="131">
                  <c:v>1.7484148291329824</c:v>
                </c:pt>
                <c:pt idx="132">
                  <c:v>0.67756814760824469</c:v>
                </c:pt>
                <c:pt idx="133">
                  <c:v>12.377139662069105</c:v>
                </c:pt>
                <c:pt idx="134">
                  <c:v>7.5290133563826037E-2</c:v>
                </c:pt>
                <c:pt idx="135">
                  <c:v>3.7036871156711691E-2</c:v>
                </c:pt>
                <c:pt idx="136">
                  <c:v>0.30842092201132781</c:v>
                </c:pt>
                <c:pt idx="137">
                  <c:v>1.6963273232169708E-3</c:v>
                </c:pt>
                <c:pt idx="138">
                  <c:v>1.58297964660873</c:v>
                </c:pt>
                <c:pt idx="139">
                  <c:v>0.54352522125444769</c:v>
                </c:pt>
                <c:pt idx="140">
                  <c:v>2.0954275796444311E-2</c:v>
                </c:pt>
                <c:pt idx="141">
                  <c:v>0.44619823004232673</c:v>
                </c:pt>
                <c:pt idx="142">
                  <c:v>5.5730899135232534E-2</c:v>
                </c:pt>
                <c:pt idx="143">
                  <c:v>1.6397561111111121</c:v>
                </c:pt>
                <c:pt idx="144">
                  <c:v>0.30631975736416522</c:v>
                </c:pt>
                <c:pt idx="145">
                  <c:v>6.7565128129068706</c:v>
                </c:pt>
                <c:pt idx="146">
                  <c:v>0.46895668480058161</c:v>
                </c:pt>
                <c:pt idx="147">
                  <c:v>0.39867259044801023</c:v>
                </c:pt>
                <c:pt idx="148">
                  <c:v>0.12376435658301589</c:v>
                </c:pt>
                <c:pt idx="149">
                  <c:v>0.74852899826019381</c:v>
                </c:pt>
                <c:pt idx="150">
                  <c:v>0.64891282678732198</c:v>
                </c:pt>
                <c:pt idx="151">
                  <c:v>0.54236144388399166</c:v>
                </c:pt>
                <c:pt idx="152">
                  <c:v>0.6975055555555556</c:v>
                </c:pt>
                <c:pt idx="153">
                  <c:v>0.49611932095667588</c:v>
                </c:pt>
                <c:pt idx="154">
                  <c:v>3.5954928519580244E-4</c:v>
                </c:pt>
                <c:pt idx="155">
                  <c:v>0.40634537650455888</c:v>
                </c:pt>
                <c:pt idx="156">
                  <c:v>3.3427272727272812E-2</c:v>
                </c:pt>
                <c:pt idx="157">
                  <c:v>0.50461736684682656</c:v>
                </c:pt>
                <c:pt idx="158">
                  <c:v>9.8583455533202748</c:v>
                </c:pt>
                <c:pt idx="159">
                  <c:v>5.5547678479209606E-2</c:v>
                </c:pt>
                <c:pt idx="160">
                  <c:v>0.66217876710526413</c:v>
                </c:pt>
                <c:pt idx="161">
                  <c:v>0.13926326177382803</c:v>
                </c:pt>
                <c:pt idx="162">
                  <c:v>1.1950991528761732</c:v>
                </c:pt>
                <c:pt idx="163">
                  <c:v>0.63184786078690169</c:v>
                </c:pt>
                <c:pt idx="164">
                  <c:v>0.34972346089069656</c:v>
                </c:pt>
                <c:pt idx="165">
                  <c:v>0.77707983226008392</c:v>
                </c:pt>
                <c:pt idx="166">
                  <c:v>0.10197447017131279</c:v>
                </c:pt>
                <c:pt idx="167">
                  <c:v>0.92409014091454</c:v>
                </c:pt>
                <c:pt idx="168">
                  <c:v>0.58359882922608852</c:v>
                </c:pt>
                <c:pt idx="169">
                  <c:v>6.3742117739597004E-3</c:v>
                </c:pt>
                <c:pt idx="170">
                  <c:v>2.3143248384888477</c:v>
                </c:pt>
                <c:pt idx="171">
                  <c:v>0.23381428571428756</c:v>
                </c:pt>
                <c:pt idx="172">
                  <c:v>0.80923206830960059</c:v>
                </c:pt>
                <c:pt idx="173">
                  <c:v>4.4934547471040274</c:v>
                </c:pt>
                <c:pt idx="174">
                  <c:v>0.19330320165911347</c:v>
                </c:pt>
                <c:pt idx="175">
                  <c:v>1.1103923908523898</c:v>
                </c:pt>
                <c:pt idx="176">
                  <c:v>2.712031558185489E-4</c:v>
                </c:pt>
                <c:pt idx="177">
                  <c:v>5.6777411457906088E-2</c:v>
                </c:pt>
                <c:pt idx="178">
                  <c:v>0.60893433880219694</c:v>
                </c:pt>
                <c:pt idx="179">
                  <c:v>7.3583873337912256E-4</c:v>
                </c:pt>
                <c:pt idx="180">
                  <c:v>0.37164800042972634</c:v>
                </c:pt>
                <c:pt idx="181">
                  <c:v>0.11669089595375723</c:v>
                </c:pt>
                <c:pt idx="182">
                  <c:v>0.11535328012157064</c:v>
                </c:pt>
                <c:pt idx="183">
                  <c:v>1.1766945948715781</c:v>
                </c:pt>
                <c:pt idx="184">
                  <c:v>0.63715957927927935</c:v>
                </c:pt>
                <c:pt idx="185">
                  <c:v>0.3538823834717329</c:v>
                </c:pt>
                <c:pt idx="186">
                  <c:v>2.3925316009182365</c:v>
                </c:pt>
                <c:pt idx="187">
                  <c:v>4.16678412692018</c:v>
                </c:pt>
                <c:pt idx="188">
                  <c:v>0.47250290759564212</c:v>
                </c:pt>
                <c:pt idx="189">
                  <c:v>1.2528889947559751</c:v>
                </c:pt>
                <c:pt idx="190">
                  <c:v>5.7091400619951424E-2</c:v>
                </c:pt>
                <c:pt idx="191">
                  <c:v>0.41971351258034167</c:v>
                </c:pt>
                <c:pt idx="192">
                  <c:v>4.8513550542620812E-2</c:v>
                </c:pt>
                <c:pt idx="193">
                  <c:v>0.63745705887178561</c:v>
                </c:pt>
                <c:pt idx="194">
                  <c:v>0.60564020443481614</c:v>
                </c:pt>
                <c:pt idx="195">
                  <c:v>8.0928696873902348E-2</c:v>
                </c:pt>
                <c:pt idx="196">
                  <c:v>0.13629544937082938</c:v>
                </c:pt>
                <c:pt idx="197">
                  <c:v>0.31248256165065874</c:v>
                </c:pt>
                <c:pt idx="198">
                  <c:v>0.33110770074976725</c:v>
                </c:pt>
                <c:pt idx="199">
                  <c:v>7.2420334928230898E-2</c:v>
                </c:pt>
                <c:pt idx="200">
                  <c:v>2.7118276362354856E-5</c:v>
                </c:pt>
                <c:pt idx="201">
                  <c:v>1.2008798680761246</c:v>
                </c:pt>
                <c:pt idx="202">
                  <c:v>1.0031948600533998</c:v>
                </c:pt>
                <c:pt idx="203">
                  <c:v>0.1003379548721136</c:v>
                </c:pt>
                <c:pt idx="204">
                  <c:v>3.8725425388044799E-2</c:v>
                </c:pt>
                <c:pt idx="205">
                  <c:v>0.32869579203451732</c:v>
                </c:pt>
                <c:pt idx="206">
                  <c:v>9.9454240635016747E-2</c:v>
                </c:pt>
                <c:pt idx="207">
                  <c:v>0.74644821428572472</c:v>
                </c:pt>
                <c:pt idx="208">
                  <c:v>0.11373055256219072</c:v>
                </c:pt>
                <c:pt idx="209">
                  <c:v>0.52325723409542502</c:v>
                </c:pt>
                <c:pt idx="210">
                  <c:v>2.915093185103385E-5</c:v>
                </c:pt>
                <c:pt idx="211">
                  <c:v>1.3167651119279681E-3</c:v>
                </c:pt>
                <c:pt idx="212">
                  <c:v>1.2349149197265041</c:v>
                </c:pt>
                <c:pt idx="213">
                  <c:v>1.244694933736848</c:v>
                </c:pt>
                <c:pt idx="214">
                  <c:v>0.57887301470210961</c:v>
                </c:pt>
                <c:pt idx="215">
                  <c:v>6.2819568452380958E-2</c:v>
                </c:pt>
                <c:pt idx="216">
                  <c:v>4.3620123927302865</c:v>
                </c:pt>
                <c:pt idx="217">
                  <c:v>9.6940276835050503E-4</c:v>
                </c:pt>
                <c:pt idx="218">
                  <c:v>0.37222272110752985</c:v>
                </c:pt>
                <c:pt idx="219">
                  <c:v>0.78349963235492648</c:v>
                </c:pt>
                <c:pt idx="220">
                  <c:v>6.5993265993266872E-3</c:v>
                </c:pt>
                <c:pt idx="221">
                  <c:v>1.0889843962047369E-2</c:v>
                </c:pt>
                <c:pt idx="222">
                  <c:v>0.6849057448439595</c:v>
                </c:pt>
                <c:pt idx="223">
                  <c:v>6.1901657333643133E-2</c:v>
                </c:pt>
                <c:pt idx="224">
                  <c:v>0.18379296867417674</c:v>
                </c:pt>
                <c:pt idx="225">
                  <c:v>5.3341562442854487E-5</c:v>
                </c:pt>
                <c:pt idx="226">
                  <c:v>0.53586867522476744</c:v>
                </c:pt>
                <c:pt idx="227">
                  <c:v>1.5337423312883691E-4</c:v>
                </c:pt>
                <c:pt idx="228">
                  <c:v>0.25265528143345212</c:v>
                </c:pt>
                <c:pt idx="229">
                  <c:v>0.43070481161194712</c:v>
                </c:pt>
                <c:pt idx="230">
                  <c:v>1.9031547641298423E-2</c:v>
                </c:pt>
                <c:pt idx="231">
                  <c:v>6.4498101051036422E-3</c:v>
                </c:pt>
                <c:pt idx="232">
                  <c:v>5.6818767126565334E-2</c:v>
                </c:pt>
                <c:pt idx="233">
                  <c:v>0.13163551529280207</c:v>
                </c:pt>
                <c:pt idx="234">
                  <c:v>1.2243492289258717</c:v>
                </c:pt>
                <c:pt idx="235">
                  <c:v>9.4934700512358167E-2</c:v>
                </c:pt>
                <c:pt idx="236">
                  <c:v>5.4379922218283874E-2</c:v>
                </c:pt>
                <c:pt idx="237">
                  <c:v>0.13051863445486941</c:v>
                </c:pt>
                <c:pt idx="238">
                  <c:v>0.92844732188383139</c:v>
                </c:pt>
                <c:pt idx="239">
                  <c:v>0.35931804497509545</c:v>
                </c:pt>
                <c:pt idx="240">
                  <c:v>0.21134400431829481</c:v>
                </c:pt>
                <c:pt idx="241">
                  <c:v>3.4163076283453946</c:v>
                </c:pt>
                <c:pt idx="242">
                  <c:v>1.1453325921361168</c:v>
                </c:pt>
                <c:pt idx="243">
                  <c:v>5.7167054781488691</c:v>
                </c:pt>
                <c:pt idx="244">
                  <c:v>0.27546356640228631</c:v>
                </c:pt>
                <c:pt idx="245">
                  <c:v>0.21246033035950912</c:v>
                </c:pt>
                <c:pt idx="246">
                  <c:v>1.1592157028281975</c:v>
                </c:pt>
                <c:pt idx="247">
                  <c:v>0.10383773082029357</c:v>
                </c:pt>
                <c:pt idx="248">
                  <c:v>0.15981023343316614</c:v>
                </c:pt>
                <c:pt idx="249">
                  <c:v>0.73214379176056021</c:v>
                </c:pt>
                <c:pt idx="250">
                  <c:v>0.76553569551065992</c:v>
                </c:pt>
                <c:pt idx="251">
                  <c:v>0.45647480418566966</c:v>
                </c:pt>
                <c:pt idx="252">
                  <c:v>0.99035388921069056</c:v>
                </c:pt>
                <c:pt idx="253">
                  <c:v>0.17075931747640147</c:v>
                </c:pt>
                <c:pt idx="254">
                  <c:v>0.4889978245506903</c:v>
                </c:pt>
                <c:pt idx="255">
                  <c:v>0.98548571107602156</c:v>
                </c:pt>
                <c:pt idx="256">
                  <c:v>4.9528946870946724</c:v>
                </c:pt>
                <c:pt idx="257">
                  <c:v>1.3836655514322608E-5</c:v>
                </c:pt>
                <c:pt idx="258">
                  <c:v>0.20882412821637822</c:v>
                </c:pt>
                <c:pt idx="259">
                  <c:v>0.12953596421572885</c:v>
                </c:pt>
                <c:pt idx="260">
                  <c:v>8.6157503613741693E-2</c:v>
                </c:pt>
                <c:pt idx="261">
                  <c:v>1.9546819739935344</c:v>
                </c:pt>
                <c:pt idx="262">
                  <c:v>3.8381010163132868E-2</c:v>
                </c:pt>
                <c:pt idx="263">
                  <c:v>0.98403671961542349</c:v>
                </c:pt>
                <c:pt idx="264">
                  <c:v>0.37365582258876212</c:v>
                </c:pt>
                <c:pt idx="265">
                  <c:v>0.8683302771088055</c:v>
                </c:pt>
                <c:pt idx="266">
                  <c:v>0.54705248590742928</c:v>
                </c:pt>
                <c:pt idx="267">
                  <c:v>0.56127061224490793</c:v>
                </c:pt>
                <c:pt idx="268">
                  <c:v>8.3943576418182547E-3</c:v>
                </c:pt>
                <c:pt idx="269">
                  <c:v>3.678363863753458E-4</c:v>
                </c:pt>
                <c:pt idx="270">
                  <c:v>0.24747272580025542</c:v>
                </c:pt>
                <c:pt idx="271">
                  <c:v>1.5860493333333341</c:v>
                </c:pt>
                <c:pt idx="272">
                  <c:v>0.73289099174382677</c:v>
                </c:pt>
                <c:pt idx="273">
                  <c:v>0.78860656560900722</c:v>
                </c:pt>
                <c:pt idx="274">
                  <c:v>1.6834528510574442</c:v>
                </c:pt>
                <c:pt idx="275">
                  <c:v>0.53908362753518235</c:v>
                </c:pt>
                <c:pt idx="276">
                  <c:v>11.507646609910466</c:v>
                </c:pt>
                <c:pt idx="277">
                  <c:v>9.7102146804401119</c:v>
                </c:pt>
                <c:pt idx="278">
                  <c:v>0.24506415844439342</c:v>
                </c:pt>
                <c:pt idx="279">
                  <c:v>7.6992572348080852</c:v>
                </c:pt>
                <c:pt idx="280">
                  <c:v>0.11803634852671338</c:v>
                </c:pt>
                <c:pt idx="281">
                  <c:v>0.5058660945536757</c:v>
                </c:pt>
                <c:pt idx="282">
                  <c:v>1.1178892684477877</c:v>
                </c:pt>
                <c:pt idx="283">
                  <c:v>0.54655424438823452</c:v>
                </c:pt>
                <c:pt idx="284">
                  <c:v>1.1638157552853148</c:v>
                </c:pt>
                <c:pt idx="285">
                  <c:v>0.29273114214811113</c:v>
                </c:pt>
                <c:pt idx="286">
                  <c:v>0.79227561754075926</c:v>
                </c:pt>
                <c:pt idx="287">
                  <c:v>0.13429898047087199</c:v>
                </c:pt>
                <c:pt idx="288">
                  <c:v>0.86738527550522881</c:v>
                </c:pt>
                <c:pt idx="289">
                  <c:v>1.4278272966244459</c:v>
                </c:pt>
                <c:pt idx="290">
                  <c:v>0.23110015001468567</c:v>
                </c:pt>
                <c:pt idx="291">
                  <c:v>2.3314256727388167E-3</c:v>
                </c:pt>
                <c:pt idx="292">
                  <c:v>0.68263283968510602</c:v>
                </c:pt>
                <c:pt idx="293">
                  <c:v>1.0409290039819026</c:v>
                </c:pt>
                <c:pt idx="294">
                  <c:v>0.3451638559471118</c:v>
                </c:pt>
                <c:pt idx="295">
                  <c:v>0.57351083320880825</c:v>
                </c:pt>
                <c:pt idx="296">
                  <c:v>0.84172005819890794</c:v>
                </c:pt>
                <c:pt idx="297">
                  <c:v>0.14327296982223894</c:v>
                </c:pt>
                <c:pt idx="298">
                  <c:v>1.1686689827024355E-2</c:v>
                </c:pt>
                <c:pt idx="299">
                  <c:v>4.7312164856958141</c:v>
                </c:pt>
                <c:pt idx="300">
                  <c:v>0.29112502040236421</c:v>
                </c:pt>
                <c:pt idx="301">
                  <c:v>0.11285293839330539</c:v>
                </c:pt>
                <c:pt idx="302">
                  <c:v>0.19996395958483962</c:v>
                </c:pt>
                <c:pt idx="303">
                  <c:v>7.9042858421069541E-3</c:v>
                </c:pt>
                <c:pt idx="304">
                  <c:v>0.67151755143548664</c:v>
                </c:pt>
                <c:pt idx="305">
                  <c:v>1.078767258312721</c:v>
                </c:pt>
                <c:pt idx="306">
                  <c:v>0.79722984920410922</c:v>
                </c:pt>
                <c:pt idx="307">
                  <c:v>2.6208246179241852E-3</c:v>
                </c:pt>
                <c:pt idx="308">
                  <c:v>0.25088497603731874</c:v>
                </c:pt>
                <c:pt idx="309">
                  <c:v>0.81762288601784394</c:v>
                </c:pt>
                <c:pt idx="310">
                  <c:v>0.15685904225207523</c:v>
                </c:pt>
                <c:pt idx="311">
                  <c:v>0.21398835319647108</c:v>
                </c:pt>
                <c:pt idx="312">
                  <c:v>9.7127660538744564E-3</c:v>
                </c:pt>
                <c:pt idx="313">
                  <c:v>0.1315458039893809</c:v>
                </c:pt>
                <c:pt idx="314">
                  <c:v>0.21247771999137241</c:v>
                </c:pt>
                <c:pt idx="315">
                  <c:v>3.3047372816008412E-2</c:v>
                </c:pt>
                <c:pt idx="316">
                  <c:v>0.320770829934934</c:v>
                </c:pt>
                <c:pt idx="317">
                  <c:v>9.0217074119958325E-4</c:v>
                </c:pt>
                <c:pt idx="318">
                  <c:v>0.29955878619688076</c:v>
                </c:pt>
                <c:pt idx="319">
                  <c:v>0.15420102006683695</c:v>
                </c:pt>
                <c:pt idx="320">
                  <c:v>0.78862722806137764</c:v>
                </c:pt>
                <c:pt idx="321">
                  <c:v>1.057557044719444</c:v>
                </c:pt>
                <c:pt idx="322">
                  <c:v>0.24762440750635636</c:v>
                </c:pt>
                <c:pt idx="323">
                  <c:v>2.1066076684227612E-2</c:v>
                </c:pt>
                <c:pt idx="324">
                  <c:v>0.73766111706984316</c:v>
                </c:pt>
                <c:pt idx="325">
                  <c:v>0.84713304547864399</c:v>
                </c:pt>
                <c:pt idx="326">
                  <c:v>7.4708510884949524</c:v>
                </c:pt>
                <c:pt idx="327">
                  <c:v>0.3588836594863023</c:v>
                </c:pt>
                <c:pt idx="328">
                  <c:v>1.0479062083945816</c:v>
                </c:pt>
                <c:pt idx="329">
                  <c:v>2.3332512699255256E-4</c:v>
                </c:pt>
                <c:pt idx="330">
                  <c:v>1.3211482648610331</c:v>
                </c:pt>
                <c:pt idx="331">
                  <c:v>8.2074301252267723E-2</c:v>
                </c:pt>
                <c:pt idx="332">
                  <c:v>1.1638255578648722</c:v>
                </c:pt>
                <c:pt idx="333">
                  <c:v>2.1294326249273072</c:v>
                </c:pt>
                <c:pt idx="334">
                  <c:v>1.0047134153472455</c:v>
                </c:pt>
                <c:pt idx="335">
                  <c:v>1.1116580622935461</c:v>
                </c:pt>
                <c:pt idx="336">
                  <c:v>2.7291035832714996E-2</c:v>
                </c:pt>
                <c:pt idx="337">
                  <c:v>0.53630131732440578</c:v>
                </c:pt>
                <c:pt idx="338">
                  <c:v>0.85115229099339462</c:v>
                </c:pt>
                <c:pt idx="339">
                  <c:v>0.31539926722868317</c:v>
                </c:pt>
                <c:pt idx="340">
                  <c:v>6.5298510093855525E-2</c:v>
                </c:pt>
                <c:pt idx="341">
                  <c:v>0.12991648650256965</c:v>
                </c:pt>
                <c:pt idx="342">
                  <c:v>9.1537695898735068E-3</c:v>
                </c:pt>
                <c:pt idx="343">
                  <c:v>7.0910377144458983E-2</c:v>
                </c:pt>
                <c:pt idx="344">
                  <c:v>0.27807070960100289</c:v>
                </c:pt>
                <c:pt idx="345">
                  <c:v>0.23208494553565689</c:v>
                </c:pt>
                <c:pt idx="346">
                  <c:v>0.13745695844614941</c:v>
                </c:pt>
                <c:pt idx="347">
                  <c:v>7.4246665568610759E-2</c:v>
                </c:pt>
                <c:pt idx="348">
                  <c:v>4.2426316734738824E-2</c:v>
                </c:pt>
                <c:pt idx="349">
                  <c:v>0.27191680536860352</c:v>
                </c:pt>
                <c:pt idx="350">
                  <c:v>2.0992263604253552</c:v>
                </c:pt>
                <c:pt idx="351">
                  <c:v>2.1358232980846002E-3</c:v>
                </c:pt>
                <c:pt idx="352">
                  <c:v>14.060522256224909</c:v>
                </c:pt>
                <c:pt idx="353">
                  <c:v>0.52929033022466876</c:v>
                </c:pt>
                <c:pt idx="354">
                  <c:v>6.0785454943294903E-2</c:v>
                </c:pt>
                <c:pt idx="355">
                  <c:v>0.18278704900924331</c:v>
                </c:pt>
                <c:pt idx="356">
                  <c:v>0.59196728909732232</c:v>
                </c:pt>
                <c:pt idx="357">
                  <c:v>0.27722710928841132</c:v>
                </c:pt>
                <c:pt idx="358">
                  <c:v>2.0109609989125996</c:v>
                </c:pt>
                <c:pt idx="359">
                  <c:v>3.8486217376075356</c:v>
                </c:pt>
                <c:pt idx="360">
                  <c:v>0.12508728113516826</c:v>
                </c:pt>
                <c:pt idx="361">
                  <c:v>1.8102554964352406</c:v>
                </c:pt>
                <c:pt idx="362">
                  <c:v>2.5761633535346148E-2</c:v>
                </c:pt>
                <c:pt idx="363">
                  <c:v>0.12354241081580632</c:v>
                </c:pt>
                <c:pt idx="364">
                  <c:v>4.2744475212942324E-3</c:v>
                </c:pt>
                <c:pt idx="365">
                  <c:v>0.92736734166509427</c:v>
                </c:pt>
                <c:pt idx="366">
                  <c:v>1.5195962097343895E-5</c:v>
                </c:pt>
                <c:pt idx="367">
                  <c:v>4.6943039118402014E-4</c:v>
                </c:pt>
                <c:pt idx="368">
                  <c:v>6.6262914251905434</c:v>
                </c:pt>
                <c:pt idx="369">
                  <c:v>0.40615067598579813</c:v>
                </c:pt>
                <c:pt idx="370">
                  <c:v>1.002003535289487E-2</c:v>
                </c:pt>
                <c:pt idx="371">
                  <c:v>4.7648433715909455</c:v>
                </c:pt>
                <c:pt idx="372">
                  <c:v>3.7916990065505092E-2</c:v>
                </c:pt>
                <c:pt idx="373">
                  <c:v>0.11168597561313152</c:v>
                </c:pt>
                <c:pt idx="374">
                  <c:v>3.0967078318659196</c:v>
                </c:pt>
                <c:pt idx="375">
                  <c:v>3.3091794738000481E-2</c:v>
                </c:pt>
                <c:pt idx="376">
                  <c:v>0.75443928709968855</c:v>
                </c:pt>
                <c:pt idx="377">
                  <c:v>2.0846099749134224</c:v>
                </c:pt>
                <c:pt idx="378">
                  <c:v>1.0151381548041258</c:v>
                </c:pt>
                <c:pt idx="379">
                  <c:v>5.3607569083315685</c:v>
                </c:pt>
                <c:pt idx="380">
                  <c:v>0.44886326209456806</c:v>
                </c:pt>
                <c:pt idx="381">
                  <c:v>0.32676212199391225</c:v>
                </c:pt>
                <c:pt idx="382">
                  <c:v>1.2120319266234476E-3</c:v>
                </c:pt>
                <c:pt idx="383">
                  <c:v>0.60035687686424677</c:v>
                </c:pt>
                <c:pt idx="384">
                  <c:v>1.1652845238095377</c:v>
                </c:pt>
                <c:pt idx="385">
                  <c:v>0.66269428497053406</c:v>
                </c:pt>
                <c:pt idx="386">
                  <c:v>1.0194327578538318</c:v>
                </c:pt>
                <c:pt idx="387">
                  <c:v>0.3519322396158715</c:v>
                </c:pt>
                <c:pt idx="388">
                  <c:v>0.9604794252236466</c:v>
                </c:pt>
                <c:pt idx="389">
                  <c:v>0.22622730619026893</c:v>
                </c:pt>
                <c:pt idx="390">
                  <c:v>4.8152605899341077E-3</c:v>
                </c:pt>
                <c:pt idx="391">
                  <c:v>9.6923601326683095E-2</c:v>
                </c:pt>
                <c:pt idx="392">
                  <c:v>4.9521207797335494E-3</c:v>
                </c:pt>
                <c:pt idx="393">
                  <c:v>1.3457006229926013E-2</c:v>
                </c:pt>
                <c:pt idx="394">
                  <c:v>3.4993461481223891</c:v>
                </c:pt>
                <c:pt idx="395">
                  <c:v>0.84977010666165165</c:v>
                </c:pt>
                <c:pt idx="396">
                  <c:v>0.83864050286460601</c:v>
                </c:pt>
                <c:pt idx="397">
                  <c:v>8.2622461462119295E-2</c:v>
                </c:pt>
                <c:pt idx="398">
                  <c:v>0.43281062874251947</c:v>
                </c:pt>
                <c:pt idx="399">
                  <c:v>7.6080695848294924E-2</c:v>
                </c:pt>
                <c:pt idx="400">
                  <c:v>7.9269293587575784E-2</c:v>
                </c:pt>
                <c:pt idx="401">
                  <c:v>0.92350470902537418</c:v>
                </c:pt>
                <c:pt idx="402">
                  <c:v>2.0697322267442884</c:v>
                </c:pt>
                <c:pt idx="403">
                  <c:v>2.5219548632998103</c:v>
                </c:pt>
                <c:pt idx="404">
                  <c:v>0.40309703777703743</c:v>
                </c:pt>
                <c:pt idx="405">
                  <c:v>1.2285365370877608</c:v>
                </c:pt>
                <c:pt idx="406">
                  <c:v>1.1388709425583161</c:v>
                </c:pt>
                <c:pt idx="407">
                  <c:v>0.14238691980406534</c:v>
                </c:pt>
                <c:pt idx="408">
                  <c:v>1.1722358797301351</c:v>
                </c:pt>
                <c:pt idx="409">
                  <c:v>0.49425863582490498</c:v>
                </c:pt>
                <c:pt idx="410">
                  <c:v>0.43885957761182737</c:v>
                </c:pt>
                <c:pt idx="411">
                  <c:v>3.2877048998964917</c:v>
                </c:pt>
                <c:pt idx="412">
                  <c:v>0.68231004705379095</c:v>
                </c:pt>
                <c:pt idx="413">
                  <c:v>0.79675610791349782</c:v>
                </c:pt>
                <c:pt idx="414">
                  <c:v>1.3316615384615401E-2</c:v>
                </c:pt>
                <c:pt idx="415">
                  <c:v>1.5266572940389199E-5</c:v>
                </c:pt>
                <c:pt idx="416">
                  <c:v>6.2717557720802133E-2</c:v>
                </c:pt>
                <c:pt idx="417">
                  <c:v>0.69098341590403367</c:v>
                </c:pt>
                <c:pt idx="418">
                  <c:v>0.61235457962250961</c:v>
                </c:pt>
                <c:pt idx="419">
                  <c:v>1.2806629563422409</c:v>
                </c:pt>
                <c:pt idx="420">
                  <c:v>0.20318429602113541</c:v>
                </c:pt>
                <c:pt idx="421">
                  <c:v>0.32434276598496986</c:v>
                </c:pt>
                <c:pt idx="422">
                  <c:v>1.7390649588401575E-2</c:v>
                </c:pt>
                <c:pt idx="423">
                  <c:v>0.53016648004429856</c:v>
                </c:pt>
                <c:pt idx="424">
                  <c:v>8.5270420291368509</c:v>
                </c:pt>
                <c:pt idx="425">
                  <c:v>1.223709493817807</c:v>
                </c:pt>
                <c:pt idx="426">
                  <c:v>0.10405524419417263</c:v>
                </c:pt>
                <c:pt idx="427">
                  <c:v>0.10262572449582075</c:v>
                </c:pt>
                <c:pt idx="428">
                  <c:v>4.2130768589103855</c:v>
                </c:pt>
                <c:pt idx="429">
                  <c:v>3.6335947193802696E-2</c:v>
                </c:pt>
                <c:pt idx="430">
                  <c:v>1.7427817838571624E-2</c:v>
                </c:pt>
                <c:pt idx="431">
                  <c:v>6.4458841031778312E-6</c:v>
                </c:pt>
                <c:pt idx="432">
                  <c:v>2.2204368117754628E-4</c:v>
                </c:pt>
                <c:pt idx="433">
                  <c:v>0.3387366142673125</c:v>
                </c:pt>
                <c:pt idx="434">
                  <c:v>1.5404858622690791</c:v>
                </c:pt>
                <c:pt idx="435">
                  <c:v>3.2910106398290133</c:v>
                </c:pt>
                <c:pt idx="436">
                  <c:v>0.24013963800055987</c:v>
                </c:pt>
                <c:pt idx="437">
                  <c:v>0.39221626160884543</c:v>
                </c:pt>
                <c:pt idx="438">
                  <c:v>0.11174738284367386</c:v>
                </c:pt>
                <c:pt idx="439">
                  <c:v>0.74998226953877911</c:v>
                </c:pt>
                <c:pt idx="440">
                  <c:v>8.6934060742103747E-2</c:v>
                </c:pt>
                <c:pt idx="441">
                  <c:v>4.5145154990131282E-2</c:v>
                </c:pt>
                <c:pt idx="442">
                  <c:v>6.7761020619846552E-3</c:v>
                </c:pt>
                <c:pt idx="443">
                  <c:v>6.2325691175379484E-2</c:v>
                </c:pt>
                <c:pt idx="444">
                  <c:v>8.9556667717282629E-2</c:v>
                </c:pt>
                <c:pt idx="445">
                  <c:v>1.2506368218042603E-2</c:v>
                </c:pt>
                <c:pt idx="446">
                  <c:v>0.69364756416207862</c:v>
                </c:pt>
                <c:pt idx="447">
                  <c:v>3.1668321778106683</c:v>
                </c:pt>
                <c:pt idx="448">
                  <c:v>3.931915376257298E-2</c:v>
                </c:pt>
                <c:pt idx="449">
                  <c:v>0.60238389305550599</c:v>
                </c:pt>
                <c:pt idx="450">
                  <c:v>0.84155930849006877</c:v>
                </c:pt>
                <c:pt idx="451">
                  <c:v>6.7766057329724125</c:v>
                </c:pt>
                <c:pt idx="452">
                  <c:v>1.1550023463658201</c:v>
                </c:pt>
                <c:pt idx="453">
                  <c:v>9.7839335925895476E-4</c:v>
                </c:pt>
                <c:pt idx="454">
                  <c:v>0.81056407636208161</c:v>
                </c:pt>
                <c:pt idx="455">
                  <c:v>0.53186975245963974</c:v>
                </c:pt>
                <c:pt idx="456">
                  <c:v>0.35747370035311932</c:v>
                </c:pt>
                <c:pt idx="457">
                  <c:v>6.6269038910001021E-2</c:v>
                </c:pt>
                <c:pt idx="458">
                  <c:v>8.0064144675786264E-2</c:v>
                </c:pt>
                <c:pt idx="459">
                  <c:v>6.5894059507971934E-4</c:v>
                </c:pt>
                <c:pt idx="460">
                  <c:v>0.13880226161085737</c:v>
                </c:pt>
                <c:pt idx="461">
                  <c:v>1.3513513513513581E-3</c:v>
                </c:pt>
                <c:pt idx="462">
                  <c:v>9.8802459666255835</c:v>
                </c:pt>
                <c:pt idx="463">
                  <c:v>0.63915588452998828</c:v>
                </c:pt>
                <c:pt idx="464">
                  <c:v>3.385900465239515E-5</c:v>
                </c:pt>
                <c:pt idx="465">
                  <c:v>0.23247347605380703</c:v>
                </c:pt>
                <c:pt idx="466">
                  <c:v>0.16526269461147194</c:v>
                </c:pt>
                <c:pt idx="467">
                  <c:v>2.0982965796225472</c:v>
                </c:pt>
                <c:pt idx="468">
                  <c:v>0.67563691289780858</c:v>
                </c:pt>
                <c:pt idx="469">
                  <c:v>0.40504542551917677</c:v>
                </c:pt>
                <c:pt idx="470">
                  <c:v>0.20663577085526971</c:v>
                </c:pt>
                <c:pt idx="471">
                  <c:v>0.55934644428129976</c:v>
                </c:pt>
                <c:pt idx="472">
                  <c:v>0.80405657447260059</c:v>
                </c:pt>
                <c:pt idx="473">
                  <c:v>1.1251699345394082</c:v>
                </c:pt>
                <c:pt idx="474">
                  <c:v>0.12269809152293809</c:v>
                </c:pt>
                <c:pt idx="475">
                  <c:v>1.6783933161953729E-2</c:v>
                </c:pt>
                <c:pt idx="476">
                  <c:v>0.42006610973864433</c:v>
                </c:pt>
                <c:pt idx="477">
                  <c:v>9.9265917373608561E-5</c:v>
                </c:pt>
                <c:pt idx="478">
                  <c:v>3.4253282577513727E-2</c:v>
                </c:pt>
                <c:pt idx="479">
                  <c:v>0.29479836701869438</c:v>
                </c:pt>
                <c:pt idx="480">
                  <c:v>0.18496000876002808</c:v>
                </c:pt>
                <c:pt idx="481">
                  <c:v>2.0926639040513928</c:v>
                </c:pt>
                <c:pt idx="482">
                  <c:v>7.0953313768180861E-3</c:v>
                </c:pt>
                <c:pt idx="483">
                  <c:v>0.53606147701678064</c:v>
                </c:pt>
                <c:pt idx="484">
                  <c:v>2.3924368480533258</c:v>
                </c:pt>
                <c:pt idx="485">
                  <c:v>2.6171607481557975</c:v>
                </c:pt>
                <c:pt idx="486">
                  <c:v>0.35914440030906647</c:v>
                </c:pt>
                <c:pt idx="487">
                  <c:v>0.40939073259512626</c:v>
                </c:pt>
                <c:pt idx="488">
                  <c:v>0.48082977038989094</c:v>
                </c:pt>
                <c:pt idx="489">
                  <c:v>0.25817619676730547</c:v>
                </c:pt>
                <c:pt idx="490">
                  <c:v>0.15013301214541591</c:v>
                </c:pt>
                <c:pt idx="491">
                  <c:v>4.6901928654273416E-2</c:v>
                </c:pt>
                <c:pt idx="492">
                  <c:v>1.8671117381455625E-2</c:v>
                </c:pt>
                <c:pt idx="493">
                  <c:v>2.0919830088495592</c:v>
                </c:pt>
                <c:pt idx="494">
                  <c:v>4.4896085374065224</c:v>
                </c:pt>
                <c:pt idx="495">
                  <c:v>1.1907600769028721</c:v>
                </c:pt>
                <c:pt idx="496">
                  <c:v>0.5019717391304348</c:v>
                </c:pt>
                <c:pt idx="497">
                  <c:v>0.50138410761233421</c:v>
                </c:pt>
                <c:pt idx="498">
                  <c:v>4.3055214034894923E-3</c:v>
                </c:pt>
                <c:pt idx="499">
                  <c:v>0.31120737479556332</c:v>
                </c:pt>
                <c:pt idx="500">
                  <c:v>0.25799919669927018</c:v>
                </c:pt>
                <c:pt idx="501">
                  <c:v>0.42517573974528688</c:v>
                </c:pt>
                <c:pt idx="502">
                  <c:v>6.6995525202211983E-2</c:v>
                </c:pt>
                <c:pt idx="503">
                  <c:v>10.118683039247626</c:v>
                </c:pt>
                <c:pt idx="504">
                  <c:v>5.3910220493732904E-2</c:v>
                </c:pt>
                <c:pt idx="505">
                  <c:v>1.0196234507232298</c:v>
                </c:pt>
                <c:pt idx="506">
                  <c:v>0.36864058950443324</c:v>
                </c:pt>
                <c:pt idx="507">
                  <c:v>1.3105682628134517E-2</c:v>
                </c:pt>
                <c:pt idx="508">
                  <c:v>0.77870013781478364</c:v>
                </c:pt>
                <c:pt idx="509">
                  <c:v>1.2132433841592078</c:v>
                </c:pt>
                <c:pt idx="510">
                  <c:v>5.8416439502772532E-2</c:v>
                </c:pt>
                <c:pt idx="511">
                  <c:v>9.0065778529877747</c:v>
                </c:pt>
                <c:pt idx="512">
                  <c:v>1.4065646715199593</c:v>
                </c:pt>
                <c:pt idx="513">
                  <c:v>14.69133585563946</c:v>
                </c:pt>
                <c:pt idx="514">
                  <c:v>0.13729939305174929</c:v>
                </c:pt>
                <c:pt idx="515">
                  <c:v>1.205061614981858E-2</c:v>
                </c:pt>
                <c:pt idx="516">
                  <c:v>0.84977051835125461</c:v>
                </c:pt>
                <c:pt idx="517">
                  <c:v>9.7321474717342871E-2</c:v>
                </c:pt>
                <c:pt idx="518">
                  <c:v>0.5997564844419504</c:v>
                </c:pt>
                <c:pt idx="519">
                  <c:v>0.95598535979315669</c:v>
                </c:pt>
                <c:pt idx="520">
                  <c:v>0.60212245098303363</c:v>
                </c:pt>
                <c:pt idx="521">
                  <c:v>4.6284116946650217E-2</c:v>
                </c:pt>
                <c:pt idx="522">
                  <c:v>0.11566753581989983</c:v>
                </c:pt>
                <c:pt idx="523">
                  <c:v>0.46958660653442214</c:v>
                </c:pt>
                <c:pt idx="524">
                  <c:v>0.21678415516652325</c:v>
                </c:pt>
                <c:pt idx="525">
                  <c:v>3.8876987031794514</c:v>
                </c:pt>
                <c:pt idx="526">
                  <c:v>1.6570821242275189</c:v>
                </c:pt>
                <c:pt idx="527">
                  <c:v>0.24948802070704507</c:v>
                </c:pt>
                <c:pt idx="528">
                  <c:v>0.67736876874221053</c:v>
                </c:pt>
                <c:pt idx="529">
                  <c:v>1.8558607076182772</c:v>
                </c:pt>
                <c:pt idx="530">
                  <c:v>0.13043456142053725</c:v>
                </c:pt>
                <c:pt idx="531">
                  <c:v>9.7873666666666664E-2</c:v>
                </c:pt>
                <c:pt idx="532">
                  <c:v>0.11108403679653678</c:v>
                </c:pt>
                <c:pt idx="533">
                  <c:v>6.2763612181096912E-2</c:v>
                </c:pt>
                <c:pt idx="534">
                  <c:v>1.7307639178836798</c:v>
                </c:pt>
                <c:pt idx="535">
                  <c:v>0.26208317247167434</c:v>
                </c:pt>
                <c:pt idx="536">
                  <c:v>2.3279812275738982</c:v>
                </c:pt>
                <c:pt idx="537">
                  <c:v>1.6924078849606667</c:v>
                </c:pt>
                <c:pt idx="538">
                  <c:v>7.8155501887170103E-2</c:v>
                </c:pt>
                <c:pt idx="539">
                  <c:v>8.2767018605970535E-2</c:v>
                </c:pt>
                <c:pt idx="540">
                  <c:v>0.37894695299791648</c:v>
                </c:pt>
                <c:pt idx="541">
                  <c:v>0.64294235918028564</c:v>
                </c:pt>
                <c:pt idx="542">
                  <c:v>0.37944239843750038</c:v>
                </c:pt>
                <c:pt idx="543">
                  <c:v>0.71827195756840834</c:v>
                </c:pt>
                <c:pt idx="544">
                  <c:v>1.0861870847945727E-2</c:v>
                </c:pt>
                <c:pt idx="545">
                  <c:v>0.49729749355821035</c:v>
                </c:pt>
                <c:pt idx="546">
                  <c:v>0.16893710286090052</c:v>
                </c:pt>
                <c:pt idx="547">
                  <c:v>0.36258034591195593</c:v>
                </c:pt>
                <c:pt idx="548">
                  <c:v>0.46325390749027395</c:v>
                </c:pt>
                <c:pt idx="549">
                  <c:v>0.44823554588683823</c:v>
                </c:pt>
                <c:pt idx="550">
                  <c:v>3.1182044075895192E-2</c:v>
                </c:pt>
                <c:pt idx="551">
                  <c:v>6.3485888641425365</c:v>
                </c:pt>
                <c:pt idx="552">
                  <c:v>1.0798057739641758</c:v>
                </c:pt>
                <c:pt idx="553">
                  <c:v>0.24221170392660624</c:v>
                </c:pt>
                <c:pt idx="554">
                  <c:v>0.30425647179189352</c:v>
                </c:pt>
                <c:pt idx="555">
                  <c:v>0.27158496007099048</c:v>
                </c:pt>
                <c:pt idx="556">
                  <c:v>0.63344486216185425</c:v>
                </c:pt>
                <c:pt idx="557">
                  <c:v>0.88463694999999209</c:v>
                </c:pt>
                <c:pt idx="558">
                  <c:v>0.14441333333333692</c:v>
                </c:pt>
                <c:pt idx="559">
                  <c:v>1.1458885504817773</c:v>
                </c:pt>
                <c:pt idx="560">
                  <c:v>3.107380662255018</c:v>
                </c:pt>
                <c:pt idx="561">
                  <c:v>0.95957889242479322</c:v>
                </c:pt>
                <c:pt idx="562">
                  <c:v>3.0318708191112567</c:v>
                </c:pt>
                <c:pt idx="563">
                  <c:v>0.96541749999999948</c:v>
                </c:pt>
                <c:pt idx="564">
                  <c:v>1.0424379106148367</c:v>
                </c:pt>
                <c:pt idx="565">
                  <c:v>2.4045070294784581</c:v>
                </c:pt>
                <c:pt idx="566">
                  <c:v>3.3961215570817292E-2</c:v>
                </c:pt>
                <c:pt idx="567">
                  <c:v>1.7120602630773939E-2</c:v>
                </c:pt>
                <c:pt idx="568">
                  <c:v>0.25167648445952817</c:v>
                </c:pt>
                <c:pt idx="569">
                  <c:v>0.12022174932926719</c:v>
                </c:pt>
                <c:pt idx="570">
                  <c:v>1.0714793153342725</c:v>
                </c:pt>
                <c:pt idx="571">
                  <c:v>1.1923544624367477</c:v>
                </c:pt>
                <c:pt idx="572">
                  <c:v>0.39504250950108188</c:v>
                </c:pt>
                <c:pt idx="573">
                  <c:v>1.620529170889925</c:v>
                </c:pt>
                <c:pt idx="574">
                  <c:v>0.12721460968275208</c:v>
                </c:pt>
                <c:pt idx="575">
                  <c:v>0.74348670729019861</c:v>
                </c:pt>
                <c:pt idx="576">
                  <c:v>1.2468058847993346</c:v>
                </c:pt>
                <c:pt idx="577">
                  <c:v>0.21525653169707229</c:v>
                </c:pt>
                <c:pt idx="578">
                  <c:v>0.96694100000000904</c:v>
                </c:pt>
                <c:pt idx="579">
                  <c:v>0.52836626436589951</c:v>
                </c:pt>
                <c:pt idx="580">
                  <c:v>0.9500796762628646</c:v>
                </c:pt>
                <c:pt idx="581">
                  <c:v>0.14993553411599853</c:v>
                </c:pt>
                <c:pt idx="582">
                  <c:v>0.36967474746543288</c:v>
                </c:pt>
                <c:pt idx="583">
                  <c:v>0.81633772191138565</c:v>
                </c:pt>
                <c:pt idx="584">
                  <c:v>0.14006307618842587</c:v>
                </c:pt>
                <c:pt idx="585">
                  <c:v>1.7995639349043433</c:v>
                </c:pt>
                <c:pt idx="586">
                  <c:v>0.34670738515682931</c:v>
                </c:pt>
                <c:pt idx="587">
                  <c:v>0.78881679693350304</c:v>
                </c:pt>
                <c:pt idx="588">
                  <c:v>2.4053914285714608</c:v>
                </c:pt>
                <c:pt idx="589">
                  <c:v>2.4105554072546767</c:v>
                </c:pt>
                <c:pt idx="590">
                  <c:v>1.8761726078799527E-5</c:v>
                </c:pt>
                <c:pt idx="591">
                  <c:v>0.13439034067027641</c:v>
                </c:pt>
                <c:pt idx="592">
                  <c:v>0.37344251968504538</c:v>
                </c:pt>
                <c:pt idx="593">
                  <c:v>0.75737465230937795</c:v>
                </c:pt>
                <c:pt idx="594">
                  <c:v>0.38274961627558818</c:v>
                </c:pt>
                <c:pt idx="595">
                  <c:v>0.28761751468799995</c:v>
                </c:pt>
                <c:pt idx="596">
                  <c:v>5.0386255482381632E-2</c:v>
                </c:pt>
                <c:pt idx="597">
                  <c:v>0.9049682553956836</c:v>
                </c:pt>
                <c:pt idx="598">
                  <c:v>1.0546115876859219</c:v>
                </c:pt>
                <c:pt idx="599">
                  <c:v>4.3591682159776914E-2</c:v>
                </c:pt>
                <c:pt idx="600">
                  <c:v>0.35111020653030567</c:v>
                </c:pt>
                <c:pt idx="601">
                  <c:v>1.427358950778166E-2</c:v>
                </c:pt>
                <c:pt idx="602">
                  <c:v>1.0197575187969925</c:v>
                </c:pt>
                <c:pt idx="603">
                  <c:v>0.14614719022183287</c:v>
                </c:pt>
                <c:pt idx="604">
                  <c:v>0.51100722948643151</c:v>
                </c:pt>
                <c:pt idx="605">
                  <c:v>9.3402129787465898E-2</c:v>
                </c:pt>
                <c:pt idx="606">
                  <c:v>1.4977940447180058</c:v>
                </c:pt>
                <c:pt idx="607">
                  <c:v>1.749990201350287</c:v>
                </c:pt>
                <c:pt idx="608">
                  <c:v>0.10593712031402952</c:v>
                </c:pt>
                <c:pt idx="609">
                  <c:v>0.22474472997010181</c:v>
                </c:pt>
                <c:pt idx="610">
                  <c:v>0.21971873369014752</c:v>
                </c:pt>
                <c:pt idx="611">
                  <c:v>0.7912632201458939</c:v>
                </c:pt>
                <c:pt idx="612">
                  <c:v>1.7181271269398251</c:v>
                </c:pt>
                <c:pt idx="613">
                  <c:v>0.86507836860266907</c:v>
                </c:pt>
                <c:pt idx="614">
                  <c:v>3.7159185767061591</c:v>
                </c:pt>
                <c:pt idx="615">
                  <c:v>0.73041094577411558</c:v>
                </c:pt>
                <c:pt idx="616">
                  <c:v>0.56549258658577961</c:v>
                </c:pt>
                <c:pt idx="617">
                  <c:v>1.0658049232149118</c:v>
                </c:pt>
                <c:pt idx="618">
                  <c:v>0.55488783586654278</c:v>
                </c:pt>
                <c:pt idx="619">
                  <c:v>0.50376194323018164</c:v>
                </c:pt>
                <c:pt idx="620">
                  <c:v>0.38786347010107497</c:v>
                </c:pt>
                <c:pt idx="621">
                  <c:v>1.5003096213442888</c:v>
                </c:pt>
                <c:pt idx="622">
                  <c:v>0.19158086666959667</c:v>
                </c:pt>
                <c:pt idx="623">
                  <c:v>1.2350534779773172</c:v>
                </c:pt>
                <c:pt idx="624">
                  <c:v>0.96871663179124357</c:v>
                </c:pt>
                <c:pt idx="625">
                  <c:v>1.4616663972988921</c:v>
                </c:pt>
                <c:pt idx="626">
                  <c:v>6.7006022269399071E-2</c:v>
                </c:pt>
                <c:pt idx="627">
                  <c:v>6.0246814759802224E-2</c:v>
                </c:pt>
                <c:pt idx="628">
                  <c:v>0.26185211685419646</c:v>
                </c:pt>
                <c:pt idx="629">
                  <c:v>11.771900585710998</c:v>
                </c:pt>
                <c:pt idx="630">
                  <c:v>5.2973525119866582E-2</c:v>
                </c:pt>
                <c:pt idx="631">
                  <c:v>0.23660766011330156</c:v>
                </c:pt>
                <c:pt idx="632">
                  <c:v>0.70741385676138968</c:v>
                </c:pt>
                <c:pt idx="633">
                  <c:v>0.13341937828748943</c:v>
                </c:pt>
                <c:pt idx="634">
                  <c:v>0.73608188075142011</c:v>
                </c:pt>
                <c:pt idx="635">
                  <c:v>8.8288094791599547E-3</c:v>
                </c:pt>
                <c:pt idx="636">
                  <c:v>2.2040561199183744</c:v>
                </c:pt>
                <c:pt idx="637">
                  <c:v>0.60574911707174051</c:v>
                </c:pt>
                <c:pt idx="638">
                  <c:v>0.39210307076466794</c:v>
                </c:pt>
                <c:pt idx="639">
                  <c:v>0.1042653149436147</c:v>
                </c:pt>
                <c:pt idx="640">
                  <c:v>0.46969928641621922</c:v>
                </c:pt>
                <c:pt idx="641">
                  <c:v>4.5696947874358414E-2</c:v>
                </c:pt>
                <c:pt idx="642">
                  <c:v>1.2444768067763041</c:v>
                </c:pt>
                <c:pt idx="643">
                  <c:v>4.5650783985254355</c:v>
                </c:pt>
                <c:pt idx="644">
                  <c:v>0.31384284357884878</c:v>
                </c:pt>
                <c:pt idx="645">
                  <c:v>16.109782950505029</c:v>
                </c:pt>
                <c:pt idx="646">
                  <c:v>0.45177391026092051</c:v>
                </c:pt>
                <c:pt idx="647">
                  <c:v>0.57346404381908578</c:v>
                </c:pt>
                <c:pt idx="648">
                  <c:v>0.12156883482284005</c:v>
                </c:pt>
                <c:pt idx="649">
                  <c:v>8.4792258965534767E-6</c:v>
                </c:pt>
                <c:pt idx="650">
                  <c:v>6.7628816730373215E-2</c:v>
                </c:pt>
                <c:pt idx="651">
                  <c:v>6.638180302734073E-2</c:v>
                </c:pt>
                <c:pt idx="652">
                  <c:v>0.64514144448618382</c:v>
                </c:pt>
                <c:pt idx="653">
                  <c:v>2.2826112732134492E-3</c:v>
                </c:pt>
                <c:pt idx="654">
                  <c:v>7.7962955215756668E-5</c:v>
                </c:pt>
                <c:pt idx="655">
                  <c:v>0.4770450275024643</c:v>
                </c:pt>
                <c:pt idx="656">
                  <c:v>0.48548050238314355</c:v>
                </c:pt>
                <c:pt idx="657">
                  <c:v>1.0234200409368021E-2</c:v>
                </c:pt>
                <c:pt idx="658">
                  <c:v>0.32614432553703432</c:v>
                </c:pt>
                <c:pt idx="659">
                  <c:v>0.17082119036190721</c:v>
                </c:pt>
                <c:pt idx="660">
                  <c:v>0.22156500000000001</c:v>
                </c:pt>
                <c:pt idx="661">
                  <c:v>2.9537115661243982E-2</c:v>
                </c:pt>
                <c:pt idx="662">
                  <c:v>0.71716266499549552</c:v>
                </c:pt>
                <c:pt idx="663">
                  <c:v>0.36339910301225742</c:v>
                </c:pt>
                <c:pt idx="664">
                  <c:v>0.52889200049966012</c:v>
                </c:pt>
                <c:pt idx="665">
                  <c:v>3.3323226996261633E-2</c:v>
                </c:pt>
                <c:pt idx="666">
                  <c:v>3.2369014084507042E-2</c:v>
                </c:pt>
                <c:pt idx="667">
                  <c:v>0.2807361996582543</c:v>
                </c:pt>
                <c:pt idx="668">
                  <c:v>0.80504725795060261</c:v>
                </c:pt>
                <c:pt idx="669">
                  <c:v>6.1645142718421138</c:v>
                </c:pt>
                <c:pt idx="670">
                  <c:v>0.18587108257862694</c:v>
                </c:pt>
                <c:pt idx="671">
                  <c:v>1.4093401989535794</c:v>
                </c:pt>
                <c:pt idx="672">
                  <c:v>7.2805507745266784E-2</c:v>
                </c:pt>
                <c:pt idx="673">
                  <c:v>2.0318650474139708</c:v>
                </c:pt>
                <c:pt idx="674">
                  <c:v>0.37933545012328784</c:v>
                </c:pt>
                <c:pt idx="675">
                  <c:v>0.23936729333987491</c:v>
                </c:pt>
                <c:pt idx="676">
                  <c:v>0.59828709697253457</c:v>
                </c:pt>
                <c:pt idx="677">
                  <c:v>2.2875705830329E-2</c:v>
                </c:pt>
                <c:pt idx="678">
                  <c:v>0.11496747183734495</c:v>
                </c:pt>
                <c:pt idx="679">
                  <c:v>0.30737089246946747</c:v>
                </c:pt>
                <c:pt idx="680">
                  <c:v>0.4930750204750205</c:v>
                </c:pt>
                <c:pt idx="681">
                  <c:v>0.31923403159933572</c:v>
                </c:pt>
                <c:pt idx="682">
                  <c:v>0.40434423883315096</c:v>
                </c:pt>
                <c:pt idx="683">
                  <c:v>1.2869381699316909</c:v>
                </c:pt>
                <c:pt idx="684">
                  <c:v>8.9134637787732743E-2</c:v>
                </c:pt>
                <c:pt idx="685">
                  <c:v>2.6466385587327892</c:v>
                </c:pt>
                <c:pt idx="686">
                  <c:v>0.27122564935065385</c:v>
                </c:pt>
                <c:pt idx="687">
                  <c:v>1.5911300373909431E-2</c:v>
                </c:pt>
                <c:pt idx="688">
                  <c:v>0.66820753844473135</c:v>
                </c:pt>
                <c:pt idx="689">
                  <c:v>1.272212782081938</c:v>
                </c:pt>
                <c:pt idx="690">
                  <c:v>0.51659280612630332</c:v>
                </c:pt>
                <c:pt idx="691">
                  <c:v>0.33424429082932688</c:v>
                </c:pt>
                <c:pt idx="692">
                  <c:v>0.18093098159509677</c:v>
                </c:pt>
                <c:pt idx="693">
                  <c:v>4.8737001446890593</c:v>
                </c:pt>
                <c:pt idx="694">
                  <c:v>0.52004436317174352</c:v>
                </c:pt>
                <c:pt idx="695">
                  <c:v>0.93550994227068662</c:v>
                </c:pt>
                <c:pt idx="696">
                  <c:v>0.43376357196573917</c:v>
                </c:pt>
                <c:pt idx="697">
                  <c:v>0.37501959173601618</c:v>
                </c:pt>
                <c:pt idx="698">
                  <c:v>6.3014424639384031E-2</c:v>
                </c:pt>
                <c:pt idx="699">
                  <c:v>0.38494550520897636</c:v>
                </c:pt>
                <c:pt idx="700">
                  <c:v>0.18774457312890774</c:v>
                </c:pt>
                <c:pt idx="701">
                  <c:v>3.9824503933680928</c:v>
                </c:pt>
                <c:pt idx="702">
                  <c:v>4.9260251869101934E-2</c:v>
                </c:pt>
                <c:pt idx="703">
                  <c:v>1.4096889478884476</c:v>
                </c:pt>
                <c:pt idx="704">
                  <c:v>20.827219016677716</c:v>
                </c:pt>
                <c:pt idx="705">
                  <c:v>0.15286832917705939</c:v>
                </c:pt>
                <c:pt idx="706">
                  <c:v>0.39298629708545452</c:v>
                </c:pt>
                <c:pt idx="707">
                  <c:v>5.2637992984783164</c:v>
                </c:pt>
                <c:pt idx="708">
                  <c:v>8.1294312063543567E-3</c:v>
                </c:pt>
                <c:pt idx="709">
                  <c:v>0.20658661509465487</c:v>
                </c:pt>
                <c:pt idx="710">
                  <c:v>0.12057553705088472</c:v>
                </c:pt>
                <c:pt idx="711">
                  <c:v>0.14736294890916948</c:v>
                </c:pt>
                <c:pt idx="712">
                  <c:v>4.7071586264063985E-2</c:v>
                </c:pt>
                <c:pt idx="713">
                  <c:v>0.10559895833333342</c:v>
                </c:pt>
                <c:pt idx="714">
                  <c:v>0.36655987500000525</c:v>
                </c:pt>
                <c:pt idx="715">
                  <c:v>1.2244183451620698</c:v>
                </c:pt>
                <c:pt idx="716">
                  <c:v>2.3574142857142837</c:v>
                </c:pt>
                <c:pt idx="717">
                  <c:v>5.4827829855387478E-2</c:v>
                </c:pt>
                <c:pt idx="718">
                  <c:v>0.73741242261709694</c:v>
                </c:pt>
                <c:pt idx="719">
                  <c:v>0.36791271508472329</c:v>
                </c:pt>
                <c:pt idx="720">
                  <c:v>5.8242111442475951E-2</c:v>
                </c:pt>
                <c:pt idx="721">
                  <c:v>0.13977118385340057</c:v>
                </c:pt>
                <c:pt idx="722">
                  <c:v>0.74291776895943551</c:v>
                </c:pt>
                <c:pt idx="723">
                  <c:v>3.7094262932711008</c:v>
                </c:pt>
                <c:pt idx="724">
                  <c:v>0.44490638246752134</c:v>
                </c:pt>
                <c:pt idx="725">
                  <c:v>1.2711981481481478</c:v>
                </c:pt>
                <c:pt idx="726">
                  <c:v>0.61268897258967714</c:v>
                </c:pt>
                <c:pt idx="727">
                  <c:v>2.2190171666666672</c:v>
                </c:pt>
                <c:pt idx="728">
                  <c:v>3.832476875642344E-2</c:v>
                </c:pt>
                <c:pt idx="729">
                  <c:v>0.12084340361696808</c:v>
                </c:pt>
                <c:pt idx="730">
                  <c:v>0.30476099104936938</c:v>
                </c:pt>
                <c:pt idx="731">
                  <c:v>2.9315516771202812E-5</c:v>
                </c:pt>
                <c:pt idx="732">
                  <c:v>0.26392701521124989</c:v>
                </c:pt>
                <c:pt idx="733">
                  <c:v>3.0222424443938727E-2</c:v>
                </c:pt>
                <c:pt idx="734">
                  <c:v>1.7499362392740914</c:v>
                </c:pt>
                <c:pt idx="735">
                  <c:v>1.7494451389420107</c:v>
                </c:pt>
                <c:pt idx="736">
                  <c:v>0.25340478856716281</c:v>
                </c:pt>
                <c:pt idx="737">
                  <c:v>1.2463625671275402</c:v>
                </c:pt>
                <c:pt idx="738">
                  <c:v>0.47467919035516032</c:v>
                </c:pt>
                <c:pt idx="739">
                  <c:v>2.0999999999999999E-3</c:v>
                </c:pt>
                <c:pt idx="740">
                  <c:v>0.31505348355348728</c:v>
                </c:pt>
                <c:pt idx="741">
                  <c:v>1.1655436472676293</c:v>
                </c:pt>
                <c:pt idx="742">
                  <c:v>3.3858558672872343</c:v>
                </c:pt>
                <c:pt idx="743">
                  <c:v>0.61984381809083366</c:v>
                </c:pt>
                <c:pt idx="744">
                  <c:v>9.7608609710985922E-2</c:v>
                </c:pt>
                <c:pt idx="745">
                  <c:v>3.8668903024175054</c:v>
                </c:pt>
                <c:pt idx="746">
                  <c:v>0.53512438865162459</c:v>
                </c:pt>
                <c:pt idx="747">
                  <c:v>0.29057989310608145</c:v>
                </c:pt>
                <c:pt idx="748">
                  <c:v>0.72848332574477337</c:v>
                </c:pt>
                <c:pt idx="749">
                  <c:v>0.15101499742607843</c:v>
                </c:pt>
                <c:pt idx="750">
                  <c:v>0.61526467717570266</c:v>
                </c:pt>
                <c:pt idx="751">
                  <c:v>0.52213097287107613</c:v>
                </c:pt>
                <c:pt idx="752">
                  <c:v>7.1480915038527534E-3</c:v>
                </c:pt>
                <c:pt idx="753">
                  <c:v>1.2337883209107561</c:v>
                </c:pt>
                <c:pt idx="754">
                  <c:v>0.28220301884347399</c:v>
                </c:pt>
                <c:pt idx="755">
                  <c:v>4.4797299313892792E-2</c:v>
                </c:pt>
                <c:pt idx="756">
                  <c:v>0.69177029646176891</c:v>
                </c:pt>
                <c:pt idx="757">
                  <c:v>0.30051560000000038</c:v>
                </c:pt>
                <c:pt idx="758">
                  <c:v>3.5472467180143588E-2</c:v>
                </c:pt>
                <c:pt idx="759">
                  <c:v>1.0949538288288498</c:v>
                </c:pt>
                <c:pt idx="760">
                  <c:v>0.3087283018867964</c:v>
                </c:pt>
                <c:pt idx="761">
                  <c:v>3.7204253968254002</c:v>
                </c:pt>
                <c:pt idx="762">
                  <c:v>2.0301186146114716E-2</c:v>
                </c:pt>
                <c:pt idx="763">
                  <c:v>0.20339118469504949</c:v>
                </c:pt>
                <c:pt idx="764">
                  <c:v>0.41961259685079078</c:v>
                </c:pt>
                <c:pt idx="765">
                  <c:v>0.25778038848307228</c:v>
                </c:pt>
                <c:pt idx="766">
                  <c:v>1.3656871150333127</c:v>
                </c:pt>
                <c:pt idx="767">
                  <c:v>3.4164940544687383E-2</c:v>
                </c:pt>
                <c:pt idx="768">
                  <c:v>1.2341420670075904</c:v>
                </c:pt>
                <c:pt idx="769">
                  <c:v>0.76455799123156631</c:v>
                </c:pt>
                <c:pt idx="770">
                  <c:v>3.3706841621880534</c:v>
                </c:pt>
                <c:pt idx="771">
                  <c:v>6.0567091809846894E-3</c:v>
                </c:pt>
                <c:pt idx="772">
                  <c:v>0.91868250446627076</c:v>
                </c:pt>
                <c:pt idx="773">
                  <c:v>1.3595101274465335</c:v>
                </c:pt>
                <c:pt idx="774">
                  <c:v>0.11875099286669299</c:v>
                </c:pt>
                <c:pt idx="775">
                  <c:v>2.3870696447620292E-2</c:v>
                </c:pt>
                <c:pt idx="776">
                  <c:v>0.10492912087912112</c:v>
                </c:pt>
                <c:pt idx="777">
                  <c:v>2.2046045282881002</c:v>
                </c:pt>
                <c:pt idx="778">
                  <c:v>0.77496295967049689</c:v>
                </c:pt>
                <c:pt idx="779">
                  <c:v>0.39468000000000525</c:v>
                </c:pt>
                <c:pt idx="780">
                  <c:v>9.5528013582343765E-2</c:v>
                </c:pt>
                <c:pt idx="781">
                  <c:v>0.50266367210796459</c:v>
                </c:pt>
                <c:pt idx="782">
                  <c:v>1.4908685374810344</c:v>
                </c:pt>
                <c:pt idx="783">
                  <c:v>6.3437733333334134E-2</c:v>
                </c:pt>
                <c:pt idx="784">
                  <c:v>6.3952627683197732E-2</c:v>
                </c:pt>
                <c:pt idx="785">
                  <c:v>2.2172114607470812</c:v>
                </c:pt>
                <c:pt idx="786">
                  <c:v>0.22577069272996708</c:v>
                </c:pt>
                <c:pt idx="787">
                  <c:v>5.5112615356585435E-4</c:v>
                </c:pt>
                <c:pt idx="788">
                  <c:v>2.6881640844282626</c:v>
                </c:pt>
                <c:pt idx="789">
                  <c:v>0.302362934782616</c:v>
                </c:pt>
                <c:pt idx="790">
                  <c:v>4.8313188073394455</c:v>
                </c:pt>
                <c:pt idx="791">
                  <c:v>0.47621021703913152</c:v>
                </c:pt>
                <c:pt idx="792">
                  <c:v>0.21066694283347359</c:v>
                </c:pt>
                <c:pt idx="793">
                  <c:v>0.27092823145432632</c:v>
                </c:pt>
                <c:pt idx="794">
                  <c:v>0.80692921348316227</c:v>
                </c:pt>
                <c:pt idx="795">
                  <c:v>4.9729182942639323</c:v>
                </c:pt>
                <c:pt idx="796">
                  <c:v>0.25935217508056302</c:v>
                </c:pt>
                <c:pt idx="797">
                  <c:v>3.27555555555556E-2</c:v>
                </c:pt>
                <c:pt idx="798">
                  <c:v>1.5460116405249316</c:v>
                </c:pt>
                <c:pt idx="799">
                  <c:v>0.52926383242346764</c:v>
                </c:pt>
                <c:pt idx="800">
                  <c:v>2.3963809523809602E-2</c:v>
                </c:pt>
                <c:pt idx="801">
                  <c:v>1.2325211150256496E-2</c:v>
                </c:pt>
                <c:pt idx="802">
                  <c:v>7.5950819672131159E-2</c:v>
                </c:pt>
                <c:pt idx="803">
                  <c:v>1.153695936959608</c:v>
                </c:pt>
                <c:pt idx="804">
                  <c:v>0.72305053835736144</c:v>
                </c:pt>
                <c:pt idx="805">
                  <c:v>7.0663987753541116E-2</c:v>
                </c:pt>
                <c:pt idx="806">
                  <c:v>21.636819304152638</c:v>
                </c:pt>
                <c:pt idx="807">
                  <c:v>0.2027759646368669</c:v>
                </c:pt>
                <c:pt idx="808">
                  <c:v>3.7492808860558613</c:v>
                </c:pt>
                <c:pt idx="809">
                  <c:v>0.32628048780488861</c:v>
                </c:pt>
                <c:pt idx="810">
                  <c:v>1.1194011447302481</c:v>
                </c:pt>
                <c:pt idx="811">
                  <c:v>0.37546998268461296</c:v>
                </c:pt>
              </c:numCache>
            </c:numRef>
          </c:yVal>
        </c:ser>
        <c:axId val="284277760"/>
        <c:axId val="57234176"/>
      </c:scatterChart>
      <c:valAx>
        <c:axId val="284277760"/>
        <c:scaling>
          <c:orientation val="minMax"/>
          <c:max val="900"/>
        </c:scaling>
        <c:axPos val="b"/>
        <c:tickLblPos val="nextTo"/>
        <c:txPr>
          <a:bodyPr/>
          <a:lstStyle/>
          <a:p>
            <a:pPr>
              <a:defRPr sz="600" b="1"/>
            </a:pPr>
            <a:endParaRPr lang="zh-CN"/>
          </a:p>
        </c:txPr>
        <c:crossAx val="57234176"/>
        <c:crosses val="autoZero"/>
        <c:crossBetween val="midCat"/>
      </c:valAx>
      <c:valAx>
        <c:axId val="57234176"/>
        <c:scaling>
          <c:orientation val="minMax"/>
        </c:scaling>
        <c:axPos val="l"/>
        <c:majorGridlines/>
        <c:numFmt formatCode="#,##0" sourceLinked="0"/>
        <c:tickLblPos val="nextTo"/>
        <c:txPr>
          <a:bodyPr/>
          <a:lstStyle/>
          <a:p>
            <a:pPr>
              <a:defRPr sz="600" b="1"/>
            </a:pPr>
            <a:endParaRPr lang="zh-CN"/>
          </a:p>
        </c:txPr>
        <c:crossAx val="284277760"/>
        <c:crosses val="autoZero"/>
        <c:crossBetween val="midCat"/>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style val="4"/>
  <c:chart>
    <c:autoTitleDeleted val="1"/>
    <c:plotArea>
      <c:layout>
        <c:manualLayout>
          <c:layoutTarget val="inner"/>
          <c:xMode val="edge"/>
          <c:yMode val="edge"/>
          <c:x val="9.5790962932609774E-2"/>
          <c:y val="0.11065984251968504"/>
          <c:w val="0.85446730868678589"/>
          <c:h val="0.7389658792651006"/>
        </c:manualLayout>
      </c:layout>
      <c:scatterChart>
        <c:scatterStyle val="lineMarker"/>
        <c:ser>
          <c:idx val="0"/>
          <c:order val="0"/>
          <c:tx>
            <c:strRef>
              <c:f>万得!$F$1</c:f>
              <c:strCache>
                <c:ptCount val="1"/>
                <c:pt idx="0">
                  <c:v>深股通占流通A股比例分布(%)</c:v>
                </c:pt>
              </c:strCache>
            </c:strRef>
          </c:tx>
          <c:spPr>
            <a:ln w="28575">
              <a:noFill/>
            </a:ln>
          </c:spPr>
          <c:marker>
            <c:symbol val="diamond"/>
            <c:size val="3"/>
          </c:marker>
          <c:xVal>
            <c:strRef>
              <c:f>万得!$B$2:$B$1090</c:f>
              <c:strCache>
                <c:ptCount val="1087"/>
                <c:pt idx="0">
                  <c:v>胜利股份</c:v>
                </c:pt>
                <c:pt idx="1">
                  <c:v>平安银行</c:v>
                </c:pt>
                <c:pt idx="2">
                  <c:v>华联控股</c:v>
                </c:pt>
                <c:pt idx="3">
                  <c:v>*ST地矿</c:v>
                </c:pt>
                <c:pt idx="4">
                  <c:v>深振业A</c:v>
                </c:pt>
                <c:pt idx="5">
                  <c:v>神州高铁</c:v>
                </c:pt>
                <c:pt idx="6">
                  <c:v>中集集团</c:v>
                </c:pt>
                <c:pt idx="7">
                  <c:v>东旭光电</c:v>
                </c:pt>
                <c:pt idx="8">
                  <c:v>世纪星源</c:v>
                </c:pt>
                <c:pt idx="9">
                  <c:v>渤海租赁</c:v>
                </c:pt>
                <c:pt idx="10">
                  <c:v>合肥百货</c:v>
                </c:pt>
                <c:pt idx="11">
                  <c:v>东旭蓝天</c:v>
                </c:pt>
                <c:pt idx="12">
                  <c:v>万科A</c:v>
                </c:pt>
                <c:pt idx="13">
                  <c:v>中国宝安</c:v>
                </c:pt>
                <c:pt idx="14">
                  <c:v>中洲控股</c:v>
                </c:pt>
                <c:pt idx="15">
                  <c:v>深物业A</c:v>
                </c:pt>
                <c:pt idx="16">
                  <c:v>中航善达</c:v>
                </c:pt>
                <c:pt idx="17">
                  <c:v>南玻A</c:v>
                </c:pt>
                <c:pt idx="18">
                  <c:v>深康佳A</c:v>
                </c:pt>
                <c:pt idx="19">
                  <c:v>神州长城</c:v>
                </c:pt>
                <c:pt idx="20">
                  <c:v>广聚能源</c:v>
                </c:pt>
                <c:pt idx="21">
                  <c:v>万向钱潮</c:v>
                </c:pt>
                <c:pt idx="22">
                  <c:v>深深宝A</c:v>
                </c:pt>
                <c:pt idx="23">
                  <c:v>小天鹅A</c:v>
                </c:pt>
                <c:pt idx="24">
                  <c:v>深圳华强</c:v>
                </c:pt>
                <c:pt idx="25">
                  <c:v>我爱我家</c:v>
                </c:pt>
                <c:pt idx="26">
                  <c:v>深科技</c:v>
                </c:pt>
                <c:pt idx="27">
                  <c:v>中信海直</c:v>
                </c:pt>
                <c:pt idx="28">
                  <c:v>中兴通讯</c:v>
                </c:pt>
                <c:pt idx="29">
                  <c:v>深赤湾A</c:v>
                </c:pt>
                <c:pt idx="30">
                  <c:v>TCL集团</c:v>
                </c:pt>
                <c:pt idx="31">
                  <c:v>烽火电子</c:v>
                </c:pt>
                <c:pt idx="32">
                  <c:v>特力A</c:v>
                </c:pt>
                <c:pt idx="33">
                  <c:v>宜华健康</c:v>
                </c:pt>
                <c:pt idx="34">
                  <c:v>北方国际</c:v>
                </c:pt>
                <c:pt idx="35">
                  <c:v>深圳能源</c:v>
                </c:pt>
                <c:pt idx="36">
                  <c:v>中国长城</c:v>
                </c:pt>
                <c:pt idx="37">
                  <c:v>川能动力</c:v>
                </c:pt>
                <c:pt idx="38">
                  <c:v>国药一致</c:v>
                </c:pt>
                <c:pt idx="39">
                  <c:v>华控赛格</c:v>
                </c:pt>
                <c:pt idx="40">
                  <c:v>华数传媒</c:v>
                </c:pt>
                <c:pt idx="41">
                  <c:v>华侨城A</c:v>
                </c:pt>
                <c:pt idx="42">
                  <c:v>富奥股份</c:v>
                </c:pt>
                <c:pt idx="43">
                  <c:v>中联重科</c:v>
                </c:pt>
                <c:pt idx="44">
                  <c:v>中粮地产</c:v>
                </c:pt>
                <c:pt idx="45">
                  <c:v>特发信息</c:v>
                </c:pt>
                <c:pt idx="46">
                  <c:v>常山北明</c:v>
                </c:pt>
                <c:pt idx="47">
                  <c:v>神州数码</c:v>
                </c:pt>
                <c:pt idx="48">
                  <c:v>申万宏源</c:v>
                </c:pt>
                <c:pt idx="49">
                  <c:v>中国天楹</c:v>
                </c:pt>
                <c:pt idx="50">
                  <c:v>东方盛虹</c:v>
                </c:pt>
                <c:pt idx="51">
                  <c:v>海王生物</c:v>
                </c:pt>
                <c:pt idx="52">
                  <c:v>陕国投A</c:v>
                </c:pt>
                <c:pt idx="53">
                  <c:v>盐田港</c:v>
                </c:pt>
                <c:pt idx="54">
                  <c:v>供销大集</c:v>
                </c:pt>
                <c:pt idx="55">
                  <c:v>海南海药</c:v>
                </c:pt>
                <c:pt idx="56">
                  <c:v>*ST宜化</c:v>
                </c:pt>
                <c:pt idx="57">
                  <c:v>泸州老窖</c:v>
                </c:pt>
                <c:pt idx="58">
                  <c:v>东阿阿胶</c:v>
                </c:pt>
                <c:pt idx="59">
                  <c:v>新大洲A</c:v>
                </c:pt>
                <c:pt idx="60">
                  <c:v>海马汽车</c:v>
                </c:pt>
                <c:pt idx="61">
                  <c:v>徐工机械</c:v>
                </c:pt>
                <c:pt idx="62">
                  <c:v>兴业矿业</c:v>
                </c:pt>
                <c:pt idx="63">
                  <c:v>华天酒店</c:v>
                </c:pt>
                <c:pt idx="64">
                  <c:v>粤高速A</c:v>
                </c:pt>
                <c:pt idx="65">
                  <c:v>晨鸣纸业</c:v>
                </c:pt>
                <c:pt idx="66">
                  <c:v>美的集团</c:v>
                </c:pt>
                <c:pt idx="67">
                  <c:v>潍柴动力</c:v>
                </c:pt>
                <c:pt idx="68">
                  <c:v>许继电气</c:v>
                </c:pt>
                <c:pt idx="69">
                  <c:v>冀东水泥</c:v>
                </c:pt>
                <c:pt idx="70">
                  <c:v>金融街</c:v>
                </c:pt>
                <c:pt idx="71">
                  <c:v>广东甘化</c:v>
                </c:pt>
                <c:pt idx="72">
                  <c:v>山东路桥</c:v>
                </c:pt>
                <c:pt idx="73">
                  <c:v>威孚高科</c:v>
                </c:pt>
                <c:pt idx="74">
                  <c:v>鄂武商A</c:v>
                </c:pt>
                <c:pt idx="75">
                  <c:v>国新健康</c:v>
                </c:pt>
                <c:pt idx="76">
                  <c:v>佛山照明</c:v>
                </c:pt>
                <c:pt idx="77">
                  <c:v>皖能电力</c:v>
                </c:pt>
                <c:pt idx="78">
                  <c:v>金圆股份</c:v>
                </c:pt>
                <c:pt idx="79">
                  <c:v>航天发展</c:v>
                </c:pt>
                <c:pt idx="80">
                  <c:v>江铃汽车</c:v>
                </c:pt>
                <c:pt idx="81">
                  <c:v>靖远煤电</c:v>
                </c:pt>
                <c:pt idx="82">
                  <c:v>沙隆达A</c:v>
                </c:pt>
                <c:pt idx="83">
                  <c:v>深纺织A</c:v>
                </c:pt>
                <c:pt idx="84">
                  <c:v>神州信息</c:v>
                </c:pt>
                <c:pt idx="85">
                  <c:v>莱茵体育</c:v>
                </c:pt>
                <c:pt idx="86">
                  <c:v>泛海控股</c:v>
                </c:pt>
                <c:pt idx="87">
                  <c:v>德赛电池</c:v>
                </c:pt>
                <c:pt idx="88">
                  <c:v>深天马A</c:v>
                </c:pt>
                <c:pt idx="89">
                  <c:v>方大集团</c:v>
                </c:pt>
                <c:pt idx="90">
                  <c:v>深赛格</c:v>
                </c:pt>
                <c:pt idx="91">
                  <c:v>华锦股份</c:v>
                </c:pt>
                <c:pt idx="92">
                  <c:v>中金岭南</c:v>
                </c:pt>
                <c:pt idx="93">
                  <c:v>农产品</c:v>
                </c:pt>
                <c:pt idx="94">
                  <c:v>韶能股份</c:v>
                </c:pt>
                <c:pt idx="95">
                  <c:v>盛达矿业</c:v>
                </c:pt>
                <c:pt idx="96">
                  <c:v>渤海股份</c:v>
                </c:pt>
                <c:pt idx="97">
                  <c:v>华媒控股</c:v>
                </c:pt>
                <c:pt idx="98">
                  <c:v>焦作万方</c:v>
                </c:pt>
                <c:pt idx="99">
                  <c:v>京汉股份</c:v>
                </c:pt>
                <c:pt idx="100">
                  <c:v>广州浪奇</c:v>
                </c:pt>
                <c:pt idx="101">
                  <c:v>红太阳</c:v>
                </c:pt>
                <c:pt idx="102">
                  <c:v>柳工</c:v>
                </c:pt>
                <c:pt idx="103">
                  <c:v>穗恒运A</c:v>
                </c:pt>
                <c:pt idx="104">
                  <c:v>华金资本</c:v>
                </c:pt>
                <c:pt idx="105">
                  <c:v>万家乐</c:v>
                </c:pt>
                <c:pt idx="106">
                  <c:v>海航投资</c:v>
                </c:pt>
                <c:pt idx="107">
                  <c:v>中钨高新</c:v>
                </c:pt>
                <c:pt idx="108">
                  <c:v>国城矿业</c:v>
                </c:pt>
                <c:pt idx="109">
                  <c:v>华映科技</c:v>
                </c:pt>
                <c:pt idx="110">
                  <c:v>中油资本</c:v>
                </c:pt>
                <c:pt idx="111">
                  <c:v>广宇发展</c:v>
                </c:pt>
                <c:pt idx="112">
                  <c:v>新华联</c:v>
                </c:pt>
                <c:pt idx="113">
                  <c:v>长春高新</c:v>
                </c:pt>
                <c:pt idx="114">
                  <c:v>云南白药</c:v>
                </c:pt>
                <c:pt idx="115">
                  <c:v>吉林敖东</c:v>
                </c:pt>
                <c:pt idx="116">
                  <c:v>宝新能源</c:v>
                </c:pt>
                <c:pt idx="117">
                  <c:v>粤电力A</c:v>
                </c:pt>
                <c:pt idx="118">
                  <c:v>长安汽车</c:v>
                </c:pt>
                <c:pt idx="119">
                  <c:v>中天金融</c:v>
                </c:pt>
                <c:pt idx="120">
                  <c:v>中润资源</c:v>
                </c:pt>
                <c:pt idx="121">
                  <c:v>天夏智慧</c:v>
                </c:pt>
                <c:pt idx="122">
                  <c:v>天茂集团</c:v>
                </c:pt>
                <c:pt idx="123">
                  <c:v>珠海港</c:v>
                </c:pt>
                <c:pt idx="124">
                  <c:v>铜陵有色</c:v>
                </c:pt>
                <c:pt idx="125">
                  <c:v>炼石航空</c:v>
                </c:pt>
                <c:pt idx="126">
                  <c:v>金路集团</c:v>
                </c:pt>
                <c:pt idx="127">
                  <c:v>顺发恒业</c:v>
                </c:pt>
                <c:pt idx="128">
                  <c:v>模塑科技</c:v>
                </c:pt>
                <c:pt idx="129">
                  <c:v>厦门信达</c:v>
                </c:pt>
                <c:pt idx="130">
                  <c:v>恒逸石化</c:v>
                </c:pt>
                <c:pt idx="131">
                  <c:v>深圳机场</c:v>
                </c:pt>
                <c:pt idx="132">
                  <c:v>丽珠集团</c:v>
                </c:pt>
                <c:pt idx="133">
                  <c:v>天健集团</c:v>
                </c:pt>
                <c:pt idx="134">
                  <c:v>英力特</c:v>
                </c:pt>
                <c:pt idx="135">
                  <c:v>风华高科</c:v>
                </c:pt>
                <c:pt idx="136">
                  <c:v>渝开发</c:v>
                </c:pt>
                <c:pt idx="137">
                  <c:v>北部湾港</c:v>
                </c:pt>
                <c:pt idx="138">
                  <c:v>湖北广电</c:v>
                </c:pt>
                <c:pt idx="139">
                  <c:v>哈工智能</c:v>
                </c:pt>
                <c:pt idx="140">
                  <c:v>国际医学</c:v>
                </c:pt>
                <c:pt idx="141">
                  <c:v>仁和药业</c:v>
                </c:pt>
                <c:pt idx="142">
                  <c:v>荣安地产</c:v>
                </c:pt>
                <c:pt idx="143">
                  <c:v>格力电器</c:v>
                </c:pt>
                <c:pt idx="144">
                  <c:v>*ST东电</c:v>
                </c:pt>
                <c:pt idx="145">
                  <c:v>四环生物</c:v>
                </c:pt>
                <c:pt idx="146">
                  <c:v>泰达股份</c:v>
                </c:pt>
                <c:pt idx="147">
                  <c:v>金洲慈航</c:v>
                </c:pt>
                <c:pt idx="148">
                  <c:v>河钢股份</c:v>
                </c:pt>
                <c:pt idx="149">
                  <c:v>中兵红箭</c:v>
                </c:pt>
                <c:pt idx="150">
                  <c:v>太阳能</c:v>
                </c:pt>
                <c:pt idx="151">
                  <c:v>金科股份</c:v>
                </c:pt>
                <c:pt idx="152">
                  <c:v>平潭发展</c:v>
                </c:pt>
                <c:pt idx="153">
                  <c:v>古井贡酒</c:v>
                </c:pt>
                <c:pt idx="154">
                  <c:v>贝瑞基因</c:v>
                </c:pt>
                <c:pt idx="155">
                  <c:v>锦龙股份</c:v>
                </c:pt>
                <c:pt idx="156">
                  <c:v>韶钢松山</c:v>
                </c:pt>
                <c:pt idx="157">
                  <c:v>兴蓉环境</c:v>
                </c:pt>
                <c:pt idx="158">
                  <c:v>经纬纺机</c:v>
                </c:pt>
                <c:pt idx="159">
                  <c:v>苏宁环球</c:v>
                </c:pt>
                <c:pt idx="160">
                  <c:v>建投能源</c:v>
                </c:pt>
                <c:pt idx="161">
                  <c:v>中原传媒</c:v>
                </c:pt>
                <c:pt idx="162">
                  <c:v>湖南发展</c:v>
                </c:pt>
                <c:pt idx="163">
                  <c:v>美锦能源</c:v>
                </c:pt>
                <c:pt idx="164">
                  <c:v>美好置业</c:v>
                </c:pt>
                <c:pt idx="165">
                  <c:v>京东方A</c:v>
                </c:pt>
                <c:pt idx="166">
                  <c:v>鲁泰A</c:v>
                </c:pt>
                <c:pt idx="167">
                  <c:v>华东科技</c:v>
                </c:pt>
                <c:pt idx="168">
                  <c:v>国元证券</c:v>
                </c:pt>
                <c:pt idx="169">
                  <c:v>燕京啤酒</c:v>
                </c:pt>
                <c:pt idx="170">
                  <c:v>金鸿控股</c:v>
                </c:pt>
                <c:pt idx="171">
                  <c:v>泰禾集团</c:v>
                </c:pt>
                <c:pt idx="172">
                  <c:v>振华科技</c:v>
                </c:pt>
                <c:pt idx="173">
                  <c:v>阳光城</c:v>
                </c:pt>
                <c:pt idx="174">
                  <c:v>罗牛山</c:v>
                </c:pt>
                <c:pt idx="175">
                  <c:v>当代东方</c:v>
                </c:pt>
                <c:pt idx="176">
                  <c:v>智度股份</c:v>
                </c:pt>
                <c:pt idx="177">
                  <c:v>山推股份</c:v>
                </c:pt>
                <c:pt idx="178">
                  <c:v>中核科技</c:v>
                </c:pt>
                <c:pt idx="179">
                  <c:v>新兴铸管</c:v>
                </c:pt>
                <c:pt idx="180">
                  <c:v>航发控制</c:v>
                </c:pt>
                <c:pt idx="181">
                  <c:v>长江证券</c:v>
                </c:pt>
                <c:pt idx="182">
                  <c:v>华联股份</c:v>
                </c:pt>
                <c:pt idx="183">
                  <c:v>北新建材</c:v>
                </c:pt>
                <c:pt idx="184">
                  <c:v>湖北能源</c:v>
                </c:pt>
                <c:pt idx="185">
                  <c:v>视觉中国</c:v>
                </c:pt>
                <c:pt idx="186">
                  <c:v>中国武夷</c:v>
                </c:pt>
                <c:pt idx="187">
                  <c:v>远兴能源</c:v>
                </c:pt>
                <c:pt idx="188">
                  <c:v>酒鬼酒</c:v>
                </c:pt>
                <c:pt idx="189">
                  <c:v>中山公用</c:v>
                </c:pt>
                <c:pt idx="190">
                  <c:v>一汽轿车</c:v>
                </c:pt>
                <c:pt idx="191">
                  <c:v>普洛药业</c:v>
                </c:pt>
                <c:pt idx="192">
                  <c:v>四川九洲</c:v>
                </c:pt>
                <c:pt idx="193">
                  <c:v>北京文化</c:v>
                </c:pt>
                <c:pt idx="194">
                  <c:v>银河生物</c:v>
                </c:pt>
                <c:pt idx="195">
                  <c:v>东北证券</c:v>
                </c:pt>
                <c:pt idx="196">
                  <c:v>国海证券</c:v>
                </c:pt>
                <c:pt idx="197">
                  <c:v>云铝股份</c:v>
                </c:pt>
                <c:pt idx="198">
                  <c:v>创维数字</c:v>
                </c:pt>
                <c:pt idx="199">
                  <c:v>华讯方舟</c:v>
                </c:pt>
                <c:pt idx="200">
                  <c:v>冰轮环境</c:v>
                </c:pt>
                <c:pt idx="201">
                  <c:v>锌业股份</c:v>
                </c:pt>
                <c:pt idx="202">
                  <c:v>美利云</c:v>
                </c:pt>
                <c:pt idx="203">
                  <c:v>*ST慧业</c:v>
                </c:pt>
                <c:pt idx="204">
                  <c:v>航锦科技</c:v>
                </c:pt>
                <c:pt idx="205">
                  <c:v>新华制药</c:v>
                </c:pt>
                <c:pt idx="206">
                  <c:v>岳阳兴长</c:v>
                </c:pt>
                <c:pt idx="207">
                  <c:v>京山轻机</c:v>
                </c:pt>
                <c:pt idx="208">
                  <c:v>山东海化</c:v>
                </c:pt>
                <c:pt idx="209">
                  <c:v>中色股份</c:v>
                </c:pt>
                <c:pt idx="210">
                  <c:v>超声电子</c:v>
                </c:pt>
                <c:pt idx="211">
                  <c:v>太钢不锈</c:v>
                </c:pt>
                <c:pt idx="212">
                  <c:v>斯太尔</c:v>
                </c:pt>
                <c:pt idx="213">
                  <c:v>启迪桑德</c:v>
                </c:pt>
                <c:pt idx="214">
                  <c:v>本钢板材</c:v>
                </c:pt>
                <c:pt idx="215">
                  <c:v>西藏矿业</c:v>
                </c:pt>
                <c:pt idx="216">
                  <c:v>东莞控股</c:v>
                </c:pt>
                <c:pt idx="217">
                  <c:v>天音控股</c:v>
                </c:pt>
                <c:pt idx="218">
                  <c:v>通化金马</c:v>
                </c:pt>
                <c:pt idx="219">
                  <c:v>鲁西化工</c:v>
                </c:pt>
                <c:pt idx="220">
                  <c:v>五矿稀土</c:v>
                </c:pt>
                <c:pt idx="221">
                  <c:v>富通鑫茂</c:v>
                </c:pt>
                <c:pt idx="222">
                  <c:v>漳泽电力</c:v>
                </c:pt>
                <c:pt idx="223">
                  <c:v>财信发展</c:v>
                </c:pt>
                <c:pt idx="224">
                  <c:v>中信国安</c:v>
                </c:pt>
                <c:pt idx="225">
                  <c:v>中航飞机</c:v>
                </c:pt>
                <c:pt idx="226">
                  <c:v>承德露露</c:v>
                </c:pt>
                <c:pt idx="227">
                  <c:v>广发证券</c:v>
                </c:pt>
                <c:pt idx="228">
                  <c:v>科华生物</c:v>
                </c:pt>
                <c:pt idx="229">
                  <c:v>海特高新</c:v>
                </c:pt>
                <c:pt idx="230">
                  <c:v>苏宁易购</c:v>
                </c:pt>
                <c:pt idx="231">
                  <c:v>航天电器</c:v>
                </c:pt>
                <c:pt idx="232">
                  <c:v>佳电股份</c:v>
                </c:pt>
                <c:pt idx="233">
                  <c:v>中鼎股份</c:v>
                </c:pt>
                <c:pt idx="234">
                  <c:v>众合科技</c:v>
                </c:pt>
                <c:pt idx="235">
                  <c:v>福星股份</c:v>
                </c:pt>
                <c:pt idx="236">
                  <c:v>中钢国际</c:v>
                </c:pt>
                <c:pt idx="237">
                  <c:v>中粮生化</c:v>
                </c:pt>
                <c:pt idx="238">
                  <c:v>中关村</c:v>
                </c:pt>
                <c:pt idx="239">
                  <c:v>峨眉山A</c:v>
                </c:pt>
                <c:pt idx="240">
                  <c:v>分众传媒</c:v>
                </c:pt>
                <c:pt idx="241">
                  <c:v>华菱钢铁</c:v>
                </c:pt>
                <c:pt idx="242">
                  <c:v>神火股份</c:v>
                </c:pt>
                <c:pt idx="243">
                  <c:v>思源电气</c:v>
                </c:pt>
                <c:pt idx="244">
                  <c:v>四川双马</c:v>
                </c:pt>
                <c:pt idx="245">
                  <c:v>七匹狼</c:v>
                </c:pt>
                <c:pt idx="246">
                  <c:v>华西股份</c:v>
                </c:pt>
                <c:pt idx="247">
                  <c:v>冀中能源</c:v>
                </c:pt>
                <c:pt idx="248">
                  <c:v>紫光股份</c:v>
                </c:pt>
                <c:pt idx="249">
                  <c:v>达安基因</c:v>
                </c:pt>
                <c:pt idx="250">
                  <c:v>茂业通信</c:v>
                </c:pt>
                <c:pt idx="251">
                  <c:v>*ST凯迪</c:v>
                </c:pt>
                <c:pt idx="252">
                  <c:v>巨轮智能</c:v>
                </c:pt>
                <c:pt idx="253">
                  <c:v>*ST东凌</c:v>
                </c:pt>
                <c:pt idx="254">
                  <c:v>苏泊尔</c:v>
                </c:pt>
                <c:pt idx="255">
                  <c:v>中国重汽</c:v>
                </c:pt>
                <c:pt idx="256">
                  <c:v>丽江旅游</c:v>
                </c:pt>
                <c:pt idx="257">
                  <c:v>双汇发展</c:v>
                </c:pt>
                <c:pt idx="258">
                  <c:v>中通客车</c:v>
                </c:pt>
                <c:pt idx="259">
                  <c:v>华帝股份</c:v>
                </c:pt>
                <c:pt idx="260">
                  <c:v>高鸿股份</c:v>
                </c:pt>
                <c:pt idx="261">
                  <c:v>联创电子</c:v>
                </c:pt>
                <c:pt idx="262">
                  <c:v>万年青</c:v>
                </c:pt>
                <c:pt idx="263">
                  <c:v>东方能源</c:v>
                </c:pt>
                <c:pt idx="264">
                  <c:v>首钢股份</c:v>
                </c:pt>
                <c:pt idx="265">
                  <c:v>华闻传媒</c:v>
                </c:pt>
                <c:pt idx="266">
                  <c:v>双鹭药业</c:v>
                </c:pt>
                <c:pt idx="267">
                  <c:v>锡业股份</c:v>
                </c:pt>
                <c:pt idx="268">
                  <c:v>英洛华</c:v>
                </c:pt>
                <c:pt idx="269">
                  <c:v>南京港</c:v>
                </c:pt>
                <c:pt idx="270">
                  <c:v>登海种业</c:v>
                </c:pt>
                <c:pt idx="271">
                  <c:v>中南建设</c:v>
                </c:pt>
                <c:pt idx="272">
                  <c:v>华孚时尚</c:v>
                </c:pt>
                <c:pt idx="273">
                  <c:v>凯撒旅游</c:v>
                </c:pt>
                <c:pt idx="274">
                  <c:v>盐湖股份</c:v>
                </c:pt>
                <c:pt idx="275">
                  <c:v>中广核技</c:v>
                </c:pt>
                <c:pt idx="276">
                  <c:v>津滨发展</c:v>
                </c:pt>
                <c:pt idx="277">
                  <c:v>鞍钢股份</c:v>
                </c:pt>
                <c:pt idx="278">
                  <c:v>隆平高科</c:v>
                </c:pt>
                <c:pt idx="279">
                  <c:v>华润三九</c:v>
                </c:pt>
                <c:pt idx="280">
                  <c:v>宗申动力</c:v>
                </c:pt>
                <c:pt idx="281">
                  <c:v>豫能控股</c:v>
                </c:pt>
                <c:pt idx="282">
                  <c:v>招商公路</c:v>
                </c:pt>
                <c:pt idx="283">
                  <c:v>招商蛇口</c:v>
                </c:pt>
                <c:pt idx="284">
                  <c:v>新和成</c:v>
                </c:pt>
                <c:pt idx="285">
                  <c:v>鸿达兴业</c:v>
                </c:pt>
                <c:pt idx="286">
                  <c:v>宝鹰股份</c:v>
                </c:pt>
                <c:pt idx="287">
                  <c:v>宁波华翔</c:v>
                </c:pt>
                <c:pt idx="288">
                  <c:v>华邦健康</c:v>
                </c:pt>
                <c:pt idx="289">
                  <c:v>紫光国微</c:v>
                </c:pt>
                <c:pt idx="290">
                  <c:v>德豪润达</c:v>
                </c:pt>
                <c:pt idx="291">
                  <c:v>三花智控</c:v>
                </c:pt>
                <c:pt idx="292">
                  <c:v>华兰生物</c:v>
                </c:pt>
                <c:pt idx="293">
                  <c:v>中工国际</c:v>
                </c:pt>
                <c:pt idx="294">
                  <c:v>大族激光</c:v>
                </c:pt>
                <c:pt idx="295">
                  <c:v>传化智联</c:v>
                </c:pt>
                <c:pt idx="296">
                  <c:v>盾安环境</c:v>
                </c:pt>
                <c:pt idx="297">
                  <c:v>中航机电</c:v>
                </c:pt>
                <c:pt idx="298">
                  <c:v>世荣兆业</c:v>
                </c:pt>
                <c:pt idx="299">
                  <c:v>*ST华信</c:v>
                </c:pt>
                <c:pt idx="300">
                  <c:v>亿帆医药</c:v>
                </c:pt>
                <c:pt idx="301">
                  <c:v>京新药业</c:v>
                </c:pt>
                <c:pt idx="302">
                  <c:v>中捷资源</c:v>
                </c:pt>
                <c:pt idx="303">
                  <c:v>同洲电子</c:v>
                </c:pt>
                <c:pt idx="304">
                  <c:v>得润电子</c:v>
                </c:pt>
                <c:pt idx="305">
                  <c:v>横店东磁</c:v>
                </c:pt>
                <c:pt idx="306">
                  <c:v>浙江交科</c:v>
                </c:pt>
                <c:pt idx="307">
                  <c:v>远光软件</c:v>
                </c:pt>
                <c:pt idx="308">
                  <c:v>华峰氨纶</c:v>
                </c:pt>
                <c:pt idx="309">
                  <c:v>东华软件</c:v>
                </c:pt>
                <c:pt idx="310">
                  <c:v>景兴纸业</c:v>
                </c:pt>
                <c:pt idx="311">
                  <c:v>黑猫股份</c:v>
                </c:pt>
                <c:pt idx="312">
                  <c:v>*ST众和</c:v>
                </c:pt>
                <c:pt idx="313">
                  <c:v>长城影视</c:v>
                </c:pt>
                <c:pt idx="314">
                  <c:v>软控股份</c:v>
                </c:pt>
                <c:pt idx="315">
                  <c:v>国轩高科</c:v>
                </c:pt>
                <c:pt idx="316">
                  <c:v>华东医药</c:v>
                </c:pt>
                <c:pt idx="317">
                  <c:v>兔宝宝</c:v>
                </c:pt>
                <c:pt idx="318">
                  <c:v>冀东装备</c:v>
                </c:pt>
                <c:pt idx="319">
                  <c:v>现代投资</c:v>
                </c:pt>
                <c:pt idx="320">
                  <c:v>航天科技</c:v>
                </c:pt>
                <c:pt idx="321">
                  <c:v>新洋丰</c:v>
                </c:pt>
                <c:pt idx="322">
                  <c:v>云内动力</c:v>
                </c:pt>
                <c:pt idx="323">
                  <c:v>厦门港务</c:v>
                </c:pt>
                <c:pt idx="324">
                  <c:v>长源电力</c:v>
                </c:pt>
                <c:pt idx="325">
                  <c:v>蓝焰控股</c:v>
                </c:pt>
                <c:pt idx="326">
                  <c:v>景峰医药</c:v>
                </c:pt>
                <c:pt idx="327">
                  <c:v>安泰科技</c:v>
                </c:pt>
                <c:pt idx="328">
                  <c:v>中科三环</c:v>
                </c:pt>
                <c:pt idx="329">
                  <c:v>高升控股</c:v>
                </c:pt>
                <c:pt idx="330">
                  <c:v>佛塑科技</c:v>
                </c:pt>
                <c:pt idx="331">
                  <c:v>银泰资源</c:v>
                </c:pt>
                <c:pt idx="332">
                  <c:v>华铁股份</c:v>
                </c:pt>
                <c:pt idx="333">
                  <c:v>浪潮信息</c:v>
                </c:pt>
                <c:pt idx="334">
                  <c:v>中弘退</c:v>
                </c:pt>
                <c:pt idx="335">
                  <c:v>大亚圣象</c:v>
                </c:pt>
                <c:pt idx="336">
                  <c:v>众泰汽车</c:v>
                </c:pt>
                <c:pt idx="337">
                  <c:v>银亿股份</c:v>
                </c:pt>
                <c:pt idx="338">
                  <c:v>西山煤电</c:v>
                </c:pt>
                <c:pt idx="339">
                  <c:v>越秀金控</c:v>
                </c:pt>
                <c:pt idx="340">
                  <c:v>华工科技</c:v>
                </c:pt>
                <c:pt idx="341">
                  <c:v>九芝堂</c:v>
                </c:pt>
                <c:pt idx="342">
                  <c:v>诚志股份</c:v>
                </c:pt>
                <c:pt idx="343">
                  <c:v>山大华特</c:v>
                </c:pt>
                <c:pt idx="344">
                  <c:v>新大陆</c:v>
                </c:pt>
                <c:pt idx="345">
                  <c:v>沙钢股份</c:v>
                </c:pt>
                <c:pt idx="346">
                  <c:v>太阳纸业</c:v>
                </c:pt>
                <c:pt idx="347">
                  <c:v>电广传媒</c:v>
                </c:pt>
                <c:pt idx="348">
                  <c:v>嘉凯城</c:v>
                </c:pt>
                <c:pt idx="349">
                  <c:v>金陵药业</c:v>
                </c:pt>
                <c:pt idx="350">
                  <c:v>南方汇通</c:v>
                </c:pt>
                <c:pt idx="351">
                  <c:v>海信家电</c:v>
                </c:pt>
                <c:pt idx="352">
                  <c:v>天保基建</c:v>
                </c:pt>
                <c:pt idx="353">
                  <c:v>美年健康</c:v>
                </c:pt>
                <c:pt idx="354">
                  <c:v>苏州固锝</c:v>
                </c:pt>
                <c:pt idx="355">
                  <c:v>三钢闽光</c:v>
                </c:pt>
                <c:pt idx="356">
                  <c:v>新海宜</c:v>
                </c:pt>
                <c:pt idx="357">
                  <c:v>金智科技</c:v>
                </c:pt>
                <c:pt idx="358">
                  <c:v>威海广泰</c:v>
                </c:pt>
                <c:pt idx="359">
                  <c:v>江苏国泰</c:v>
                </c:pt>
                <c:pt idx="360">
                  <c:v>中泰化学</c:v>
                </c:pt>
                <c:pt idx="361">
                  <c:v>罗平锌电</c:v>
                </c:pt>
                <c:pt idx="362">
                  <c:v>国脉科技</c:v>
                </c:pt>
                <c:pt idx="363">
                  <c:v>东港股份</c:v>
                </c:pt>
                <c:pt idx="364">
                  <c:v>青岛金王</c:v>
                </c:pt>
                <c:pt idx="365">
                  <c:v>紫鑫药业</c:v>
                </c:pt>
                <c:pt idx="366">
                  <c:v>生意宝</c:v>
                </c:pt>
                <c:pt idx="367">
                  <c:v>国光电器</c:v>
                </c:pt>
                <c:pt idx="368">
                  <c:v>韵达股份</c:v>
                </c:pt>
                <c:pt idx="369">
                  <c:v>科陆电子</c:v>
                </c:pt>
                <c:pt idx="370">
                  <c:v>*ST天马</c:v>
                </c:pt>
                <c:pt idx="371">
                  <c:v>梦网集团</c:v>
                </c:pt>
                <c:pt idx="372">
                  <c:v>天邦股份</c:v>
                </c:pt>
                <c:pt idx="373">
                  <c:v>银轮股份</c:v>
                </c:pt>
                <c:pt idx="374">
                  <c:v>南极电商</c:v>
                </c:pt>
                <c:pt idx="375">
                  <c:v>露天煤业</c:v>
                </c:pt>
                <c:pt idx="376">
                  <c:v>拓邦股份</c:v>
                </c:pt>
                <c:pt idx="377">
                  <c:v>宁波银行</c:v>
                </c:pt>
                <c:pt idx="378">
                  <c:v>中环股份</c:v>
                </c:pt>
                <c:pt idx="379">
                  <c:v>印纪传媒</c:v>
                </c:pt>
                <c:pt idx="380">
                  <c:v>中核钛白</c:v>
                </c:pt>
                <c:pt idx="381">
                  <c:v>中材科技</c:v>
                </c:pt>
                <c:pt idx="382">
                  <c:v>荣盛发展</c:v>
                </c:pt>
                <c:pt idx="383">
                  <c:v>新光圆成</c:v>
                </c:pt>
                <c:pt idx="384">
                  <c:v>金螳螂</c:v>
                </c:pt>
                <c:pt idx="385">
                  <c:v>北纬科技</c:v>
                </c:pt>
                <c:pt idx="386">
                  <c:v>北斗星通</c:v>
                </c:pt>
                <c:pt idx="387">
                  <c:v>孚日股份</c:v>
                </c:pt>
                <c:pt idx="388">
                  <c:v>广电运通</c:v>
                </c:pt>
                <c:pt idx="389">
                  <c:v>石基信息</c:v>
                </c:pt>
                <c:pt idx="390">
                  <c:v>湖南黄金</c:v>
                </c:pt>
                <c:pt idx="391">
                  <c:v>通富微电</c:v>
                </c:pt>
                <c:pt idx="392">
                  <c:v>正邦科技</c:v>
                </c:pt>
                <c:pt idx="393">
                  <c:v>汉钟精机</c:v>
                </c:pt>
                <c:pt idx="394">
                  <c:v>远望谷</c:v>
                </c:pt>
                <c:pt idx="395">
                  <c:v>东方锆业</c:v>
                </c:pt>
                <c:pt idx="396">
                  <c:v>深圳惠程</c:v>
                </c:pt>
                <c:pt idx="397">
                  <c:v>智光电气</c:v>
                </c:pt>
                <c:pt idx="398">
                  <c:v>芭田股份</c:v>
                </c:pt>
                <c:pt idx="399">
                  <c:v>楚江新材</c:v>
                </c:pt>
                <c:pt idx="400">
                  <c:v>万丰奥威</c:v>
                </c:pt>
                <c:pt idx="401">
                  <c:v>澳洋健康</c:v>
                </c:pt>
                <c:pt idx="402">
                  <c:v>东方海洋</c:v>
                </c:pt>
                <c:pt idx="403">
                  <c:v>山河智能</c:v>
                </c:pt>
                <c:pt idx="404">
                  <c:v>泰和新材</c:v>
                </c:pt>
                <c:pt idx="405">
                  <c:v>五粮液</c:v>
                </c:pt>
                <c:pt idx="406">
                  <c:v>顺鑫农业</c:v>
                </c:pt>
                <c:pt idx="407">
                  <c:v>海印股份</c:v>
                </c:pt>
                <c:pt idx="408">
                  <c:v>三湘印象</c:v>
                </c:pt>
                <c:pt idx="409">
                  <c:v>海翔药业</c:v>
                </c:pt>
                <c:pt idx="410">
                  <c:v>张裕A</c:v>
                </c:pt>
                <c:pt idx="411">
                  <c:v>兆新股份</c:v>
                </c:pt>
                <c:pt idx="412">
                  <c:v>吉电股份</c:v>
                </c:pt>
                <c:pt idx="413">
                  <c:v>天康生物</c:v>
                </c:pt>
                <c:pt idx="414">
                  <c:v>威华股份</c:v>
                </c:pt>
                <c:pt idx="415">
                  <c:v>ST冠福</c:v>
                </c:pt>
                <c:pt idx="416">
                  <c:v>新希望</c:v>
                </c:pt>
                <c:pt idx="417">
                  <c:v>歌尔股份</c:v>
                </c:pt>
                <c:pt idx="418">
                  <c:v>天山股份</c:v>
                </c:pt>
                <c:pt idx="419">
                  <c:v>九阳股份</c:v>
                </c:pt>
                <c:pt idx="420">
                  <c:v>恒宝股份</c:v>
                </c:pt>
                <c:pt idx="421">
                  <c:v>云南铜业</c:v>
                </c:pt>
                <c:pt idx="422">
                  <c:v>莱宝高科</c:v>
                </c:pt>
                <c:pt idx="423">
                  <c:v>滨江集团</c:v>
                </c:pt>
                <c:pt idx="424">
                  <c:v>城发环境</c:v>
                </c:pt>
                <c:pt idx="425">
                  <c:v>澳洋顺昌</c:v>
                </c:pt>
                <c:pt idx="426">
                  <c:v>合力泰</c:v>
                </c:pt>
                <c:pt idx="427">
                  <c:v>沃华医药</c:v>
                </c:pt>
                <c:pt idx="428">
                  <c:v>沧州明珠</c:v>
                </c:pt>
                <c:pt idx="429">
                  <c:v>利欧股份</c:v>
                </c:pt>
                <c:pt idx="430">
                  <c:v>北化股份</c:v>
                </c:pt>
                <c:pt idx="431">
                  <c:v>东华能源</c:v>
                </c:pt>
                <c:pt idx="432">
                  <c:v>聚力文化</c:v>
                </c:pt>
                <c:pt idx="433">
                  <c:v>游族网络</c:v>
                </c:pt>
                <c:pt idx="434">
                  <c:v>东南网架</c:v>
                </c:pt>
                <c:pt idx="435">
                  <c:v>大洋电机</c:v>
                </c:pt>
                <c:pt idx="436">
                  <c:v>沃尔核材</c:v>
                </c:pt>
                <c:pt idx="437">
                  <c:v>福晶科技</c:v>
                </c:pt>
                <c:pt idx="438">
                  <c:v>联化科技</c:v>
                </c:pt>
                <c:pt idx="439">
                  <c:v>步步高</c:v>
                </c:pt>
                <c:pt idx="440">
                  <c:v>麦达数字</c:v>
                </c:pt>
                <c:pt idx="441">
                  <c:v>上海莱士</c:v>
                </c:pt>
                <c:pt idx="442">
                  <c:v>顺络电子</c:v>
                </c:pt>
                <c:pt idx="443">
                  <c:v>鱼跃医疗</c:v>
                </c:pt>
                <c:pt idx="444">
                  <c:v>川大智胜</c:v>
                </c:pt>
                <c:pt idx="445">
                  <c:v>三力士</c:v>
                </c:pt>
                <c:pt idx="446">
                  <c:v>大连重工</c:v>
                </c:pt>
                <c:pt idx="447">
                  <c:v>海利得</c:v>
                </c:pt>
                <c:pt idx="448">
                  <c:v>飞马国际</c:v>
                </c:pt>
                <c:pt idx="449">
                  <c:v>江南化工</c:v>
                </c:pt>
                <c:pt idx="450">
                  <c:v>奥特迅</c:v>
                </c:pt>
                <c:pt idx="451">
                  <c:v>鸿博股份</c:v>
                </c:pt>
                <c:pt idx="452">
                  <c:v>西仪股份</c:v>
                </c:pt>
                <c:pt idx="453">
                  <c:v>科大讯飞</c:v>
                </c:pt>
                <c:pt idx="454">
                  <c:v>塔牌集团</c:v>
                </c:pt>
                <c:pt idx="455">
                  <c:v>大华股份</c:v>
                </c:pt>
                <c:pt idx="456">
                  <c:v>恒邦股份</c:v>
                </c:pt>
                <c:pt idx="457">
                  <c:v>新北洋</c:v>
                </c:pt>
                <c:pt idx="458">
                  <c:v>天威视讯</c:v>
                </c:pt>
                <c:pt idx="459">
                  <c:v>奥特佳</c:v>
                </c:pt>
                <c:pt idx="460">
                  <c:v>利尔化学</c:v>
                </c:pt>
                <c:pt idx="461">
                  <c:v>ST升达</c:v>
                </c:pt>
                <c:pt idx="462">
                  <c:v>*ST德奥</c:v>
                </c:pt>
                <c:pt idx="463">
                  <c:v>拓维信息</c:v>
                </c:pt>
                <c:pt idx="464">
                  <c:v>恩华药业</c:v>
                </c:pt>
                <c:pt idx="465">
                  <c:v>*ST东南</c:v>
                </c:pt>
                <c:pt idx="466">
                  <c:v>南洋股份</c:v>
                </c:pt>
                <c:pt idx="467">
                  <c:v>东方网络</c:v>
                </c:pt>
                <c:pt idx="468">
                  <c:v>江特电机</c:v>
                </c:pt>
                <c:pt idx="469">
                  <c:v>延华智能</c:v>
                </c:pt>
                <c:pt idx="470">
                  <c:v>中航光电</c:v>
                </c:pt>
                <c:pt idx="471">
                  <c:v>纳思达</c:v>
                </c:pt>
                <c:pt idx="472">
                  <c:v>云海金属</c:v>
                </c:pt>
                <c:pt idx="473">
                  <c:v>怡亚通</c:v>
                </c:pt>
                <c:pt idx="474">
                  <c:v>海得控制</c:v>
                </c:pt>
                <c:pt idx="475">
                  <c:v>华天科技</c:v>
                </c:pt>
                <c:pt idx="476">
                  <c:v>利达光电</c:v>
                </c:pt>
                <c:pt idx="477">
                  <c:v>华英农业</c:v>
                </c:pt>
                <c:pt idx="478">
                  <c:v>理工环科</c:v>
                </c:pt>
                <c:pt idx="479">
                  <c:v>普利特</c:v>
                </c:pt>
                <c:pt idx="480">
                  <c:v>章源钨业</c:v>
                </c:pt>
                <c:pt idx="481">
                  <c:v>成飞集成</c:v>
                </c:pt>
                <c:pt idx="482">
                  <c:v>劲嘉股份</c:v>
                </c:pt>
                <c:pt idx="483">
                  <c:v>洪涛股份</c:v>
                </c:pt>
                <c:pt idx="484">
                  <c:v>蓝帆医疗</c:v>
                </c:pt>
                <c:pt idx="485">
                  <c:v>浙富控股</c:v>
                </c:pt>
                <c:pt idx="486">
                  <c:v>融捷股份</c:v>
                </c:pt>
                <c:pt idx="487">
                  <c:v>永太科技</c:v>
                </c:pt>
                <c:pt idx="488">
                  <c:v>合众思壮</c:v>
                </c:pt>
                <c:pt idx="489">
                  <c:v>陕天然气</c:v>
                </c:pt>
                <c:pt idx="490">
                  <c:v>*ST凡谷</c:v>
                </c:pt>
                <c:pt idx="491">
                  <c:v>富安娜</c:v>
                </c:pt>
                <c:pt idx="492">
                  <c:v>诺普信</c:v>
                </c:pt>
                <c:pt idx="493">
                  <c:v>卫士通</c:v>
                </c:pt>
                <c:pt idx="494">
                  <c:v>美邦服饰</c:v>
                </c:pt>
                <c:pt idx="495">
                  <c:v>三全食品</c:v>
                </c:pt>
                <c:pt idx="496">
                  <c:v>二三四五</c:v>
                </c:pt>
                <c:pt idx="497">
                  <c:v>皇氏集团</c:v>
                </c:pt>
                <c:pt idx="498">
                  <c:v>东山精密</c:v>
                </c:pt>
                <c:pt idx="499">
                  <c:v>东方雨虹</c:v>
                </c:pt>
                <c:pt idx="500">
                  <c:v>水晶光电</c:v>
                </c:pt>
                <c:pt idx="501">
                  <c:v>大北农</c:v>
                </c:pt>
                <c:pt idx="502">
                  <c:v>证通电子</c:v>
                </c:pt>
                <c:pt idx="503">
                  <c:v>维信诺</c:v>
                </c:pt>
                <c:pt idx="504">
                  <c:v>仙琚制药</c:v>
                </c:pt>
                <c:pt idx="505">
                  <c:v>华昌化工</c:v>
                </c:pt>
                <c:pt idx="506">
                  <c:v>英威腾</c:v>
                </c:pt>
                <c:pt idx="507">
                  <c:v>金风科技</c:v>
                </c:pt>
                <c:pt idx="508">
                  <c:v>南洋科技</c:v>
                </c:pt>
                <c:pt idx="509">
                  <c:v>桂林三金</c:v>
                </c:pt>
                <c:pt idx="510">
                  <c:v>信邦制药</c:v>
                </c:pt>
                <c:pt idx="511">
                  <c:v>万马股份</c:v>
                </c:pt>
                <c:pt idx="512">
                  <c:v>光迅科技</c:v>
                </c:pt>
                <c:pt idx="513">
                  <c:v>天润曲轴</c:v>
                </c:pt>
                <c:pt idx="514">
                  <c:v>友阿股份</c:v>
                </c:pt>
                <c:pt idx="515">
                  <c:v>海亮股份</c:v>
                </c:pt>
                <c:pt idx="516">
                  <c:v>威创股份</c:v>
                </c:pt>
                <c:pt idx="517">
                  <c:v>中利集团</c:v>
                </c:pt>
                <c:pt idx="518">
                  <c:v>神开股份</c:v>
                </c:pt>
                <c:pt idx="519">
                  <c:v>亚太股份</c:v>
                </c:pt>
                <c:pt idx="520">
                  <c:v>久其软件</c:v>
                </c:pt>
                <c:pt idx="521">
                  <c:v>东方园林</c:v>
                </c:pt>
                <c:pt idx="522">
                  <c:v>联络互动</c:v>
                </c:pt>
                <c:pt idx="523">
                  <c:v>中电兴发</c:v>
                </c:pt>
                <c:pt idx="524">
                  <c:v>康力电梯</c:v>
                </c:pt>
                <c:pt idx="525">
                  <c:v>太极股份</c:v>
                </c:pt>
                <c:pt idx="526">
                  <c:v>世联行</c:v>
                </c:pt>
                <c:pt idx="527">
                  <c:v>北方华创</c:v>
                </c:pt>
                <c:pt idx="528">
                  <c:v>海大集团</c:v>
                </c:pt>
                <c:pt idx="529">
                  <c:v>圣农发展</c:v>
                </c:pt>
                <c:pt idx="530">
                  <c:v>伟星新材</c:v>
                </c:pt>
                <c:pt idx="531">
                  <c:v>太阳电缆</c:v>
                </c:pt>
                <c:pt idx="532">
                  <c:v>三泰控股</c:v>
                </c:pt>
                <c:pt idx="533">
                  <c:v>齐心集团</c:v>
                </c:pt>
                <c:pt idx="534">
                  <c:v>奇正藏药</c:v>
                </c:pt>
                <c:pt idx="535">
                  <c:v>西部建设</c:v>
                </c:pt>
                <c:pt idx="536">
                  <c:v>超华科技</c:v>
                </c:pt>
                <c:pt idx="537">
                  <c:v>美盈森</c:v>
                </c:pt>
                <c:pt idx="538">
                  <c:v>奥飞娱乐</c:v>
                </c:pt>
                <c:pt idx="539">
                  <c:v>洋河股份</c:v>
                </c:pt>
                <c:pt idx="540">
                  <c:v>南国置业</c:v>
                </c:pt>
                <c:pt idx="541">
                  <c:v>罗莱生活</c:v>
                </c:pt>
                <c:pt idx="542">
                  <c:v>千方科技</c:v>
                </c:pt>
                <c:pt idx="543">
                  <c:v>信立泰</c:v>
                </c:pt>
                <c:pt idx="544">
                  <c:v>北新路桥</c:v>
                </c:pt>
                <c:pt idx="545">
                  <c:v>辉煌科技</c:v>
                </c:pt>
                <c:pt idx="546">
                  <c:v>日海智能</c:v>
                </c:pt>
                <c:pt idx="547">
                  <c:v>博云新材</c:v>
                </c:pt>
                <c:pt idx="548">
                  <c:v>杰瑞股份</c:v>
                </c:pt>
                <c:pt idx="549">
                  <c:v>天神娱乐</c:v>
                </c:pt>
                <c:pt idx="550">
                  <c:v>兴民智通</c:v>
                </c:pt>
                <c:pt idx="551">
                  <c:v>森源电气</c:v>
                </c:pt>
                <c:pt idx="552">
                  <c:v>北讯集团</c:v>
                </c:pt>
                <c:pt idx="553">
                  <c:v>神剑股份</c:v>
                </c:pt>
                <c:pt idx="554">
                  <c:v>中恒电气</c:v>
                </c:pt>
                <c:pt idx="555">
                  <c:v>永安药业</c:v>
                </c:pt>
                <c:pt idx="556">
                  <c:v>亚厦股份</c:v>
                </c:pt>
                <c:pt idx="557">
                  <c:v>科华恒盛</c:v>
                </c:pt>
                <c:pt idx="558">
                  <c:v>积成电子</c:v>
                </c:pt>
                <c:pt idx="559">
                  <c:v>南山控股</c:v>
                </c:pt>
                <c:pt idx="560">
                  <c:v>格林美</c:v>
                </c:pt>
                <c:pt idx="561">
                  <c:v>焦点科技</c:v>
                </c:pt>
                <c:pt idx="562">
                  <c:v>新纶科技</c:v>
                </c:pt>
                <c:pt idx="563">
                  <c:v>巨力索具</c:v>
                </c:pt>
                <c:pt idx="564">
                  <c:v>众生药业</c:v>
                </c:pt>
                <c:pt idx="565">
                  <c:v>慈文传媒</c:v>
                </c:pt>
                <c:pt idx="566">
                  <c:v>久立特材</c:v>
                </c:pt>
                <c:pt idx="567">
                  <c:v>海宁皮城</c:v>
                </c:pt>
                <c:pt idx="568">
                  <c:v>和而泰</c:v>
                </c:pt>
                <c:pt idx="569">
                  <c:v>海峡股份</c:v>
                </c:pt>
                <c:pt idx="570">
                  <c:v>潮宏基</c:v>
                </c:pt>
                <c:pt idx="571">
                  <c:v>四维图新</c:v>
                </c:pt>
                <c:pt idx="572">
                  <c:v>高乐股份</c:v>
                </c:pt>
                <c:pt idx="573">
                  <c:v>台海核电</c:v>
                </c:pt>
                <c:pt idx="574">
                  <c:v>精华制药</c:v>
                </c:pt>
                <c:pt idx="575">
                  <c:v>多氟多</c:v>
                </c:pt>
                <c:pt idx="576">
                  <c:v>齐翔腾达</c:v>
                </c:pt>
                <c:pt idx="577">
                  <c:v>雅克科技</c:v>
                </c:pt>
                <c:pt idx="578">
                  <c:v>顺丰控股</c:v>
                </c:pt>
                <c:pt idx="579">
                  <c:v>广联达</c:v>
                </c:pt>
                <c:pt idx="580">
                  <c:v>延安必康</c:v>
                </c:pt>
                <c:pt idx="581">
                  <c:v>雅化集团</c:v>
                </c:pt>
                <c:pt idx="582">
                  <c:v>雷科防务</c:v>
                </c:pt>
                <c:pt idx="583">
                  <c:v>高德红外</c:v>
                </c:pt>
                <c:pt idx="584">
                  <c:v>汉缆股份</c:v>
                </c:pt>
                <c:pt idx="585">
                  <c:v>海康威视</c:v>
                </c:pt>
                <c:pt idx="586">
                  <c:v>山西证券</c:v>
                </c:pt>
                <c:pt idx="587">
                  <c:v>爱施德</c:v>
                </c:pt>
                <c:pt idx="588">
                  <c:v>康盛股份</c:v>
                </c:pt>
                <c:pt idx="589">
                  <c:v>宝莫股份</c:v>
                </c:pt>
                <c:pt idx="590">
                  <c:v>雏鹰农牧</c:v>
                </c:pt>
                <c:pt idx="591">
                  <c:v>利源精制</c:v>
                </c:pt>
                <c:pt idx="592">
                  <c:v>天汽模</c:v>
                </c:pt>
                <c:pt idx="593">
                  <c:v>中顺洁柔</c:v>
                </c:pt>
                <c:pt idx="594">
                  <c:v>富春环保</c:v>
                </c:pt>
                <c:pt idx="595">
                  <c:v>骅威文化</c:v>
                </c:pt>
                <c:pt idx="596">
                  <c:v>达华智能</c:v>
                </c:pt>
                <c:pt idx="597">
                  <c:v>新筑股份</c:v>
                </c:pt>
                <c:pt idx="598">
                  <c:v>海联金汇</c:v>
                </c:pt>
                <c:pt idx="599">
                  <c:v>金字火腿</c:v>
                </c:pt>
                <c:pt idx="600">
                  <c:v>司尔特</c:v>
                </c:pt>
                <c:pt idx="601">
                  <c:v>双塔食品</c:v>
                </c:pt>
                <c:pt idx="602">
                  <c:v>广田集团</c:v>
                </c:pt>
                <c:pt idx="603">
                  <c:v>云图控股</c:v>
                </c:pt>
                <c:pt idx="604">
                  <c:v>江海股份</c:v>
                </c:pt>
                <c:pt idx="605">
                  <c:v>旷达科技</c:v>
                </c:pt>
                <c:pt idx="606">
                  <c:v>亚太科技</c:v>
                </c:pt>
                <c:pt idx="607">
                  <c:v>恺英网络</c:v>
                </c:pt>
                <c:pt idx="608">
                  <c:v>中化岩土</c:v>
                </c:pt>
                <c:pt idx="609">
                  <c:v>贵州百灵</c:v>
                </c:pt>
                <c:pt idx="610">
                  <c:v>科士达</c:v>
                </c:pt>
                <c:pt idx="611">
                  <c:v>金固股份</c:v>
                </c:pt>
                <c:pt idx="612">
                  <c:v>杰赛科技</c:v>
                </c:pt>
                <c:pt idx="613">
                  <c:v>凯撒文化</c:v>
                </c:pt>
                <c:pt idx="614">
                  <c:v>东方铁塔</c:v>
                </c:pt>
                <c:pt idx="615">
                  <c:v>浙江永强</c:v>
                </c:pt>
                <c:pt idx="616">
                  <c:v>胜利精密</c:v>
                </c:pt>
                <c:pt idx="617">
                  <c:v>山东墨龙</c:v>
                </c:pt>
                <c:pt idx="618">
                  <c:v>*ST尤夫</c:v>
                </c:pt>
                <c:pt idx="619">
                  <c:v>云南锗业</c:v>
                </c:pt>
                <c:pt idx="620">
                  <c:v>兆驰股份</c:v>
                </c:pt>
                <c:pt idx="621">
                  <c:v>通鼎互联</c:v>
                </c:pt>
                <c:pt idx="622">
                  <c:v>荣盛石化</c:v>
                </c:pt>
                <c:pt idx="623">
                  <c:v>ST辉丰</c:v>
                </c:pt>
                <c:pt idx="624">
                  <c:v>搜于特</c:v>
                </c:pt>
                <c:pt idx="625">
                  <c:v>北京利尔</c:v>
                </c:pt>
                <c:pt idx="626">
                  <c:v>弘高创意</c:v>
                </c:pt>
                <c:pt idx="627">
                  <c:v>力生制药</c:v>
                </c:pt>
                <c:pt idx="628">
                  <c:v>大康农业</c:v>
                </c:pt>
                <c:pt idx="629">
                  <c:v>协鑫集成</c:v>
                </c:pt>
                <c:pt idx="630">
                  <c:v>星网锐捷</c:v>
                </c:pt>
                <c:pt idx="631">
                  <c:v>涪陵榨菜</c:v>
                </c:pt>
                <c:pt idx="632">
                  <c:v>海普瑞</c:v>
                </c:pt>
                <c:pt idx="633">
                  <c:v>老板电器</c:v>
                </c:pt>
                <c:pt idx="634">
                  <c:v>省广集团</c:v>
                </c:pt>
                <c:pt idx="635">
                  <c:v>天广中茂</c:v>
                </c:pt>
                <c:pt idx="636">
                  <c:v>盛路通信</c:v>
                </c:pt>
                <c:pt idx="637">
                  <c:v>晨鑫科技</c:v>
                </c:pt>
                <c:pt idx="638">
                  <c:v>中原内配</c:v>
                </c:pt>
                <c:pt idx="639">
                  <c:v>国星光电</c:v>
                </c:pt>
                <c:pt idx="640">
                  <c:v>康得新</c:v>
                </c:pt>
                <c:pt idx="641">
                  <c:v>欧菲科技</c:v>
                </c:pt>
                <c:pt idx="642">
                  <c:v>益生股份</c:v>
                </c:pt>
                <c:pt idx="643">
                  <c:v>巨人网络</c:v>
                </c:pt>
                <c:pt idx="644">
                  <c:v>银河电子</c:v>
                </c:pt>
                <c:pt idx="645">
                  <c:v>徐家汇</c:v>
                </c:pt>
                <c:pt idx="646">
                  <c:v>森马服饰</c:v>
                </c:pt>
                <c:pt idx="647">
                  <c:v>天沃科技</c:v>
                </c:pt>
                <c:pt idx="648">
                  <c:v>唐人神</c:v>
                </c:pt>
                <c:pt idx="649">
                  <c:v>浙江众成</c:v>
                </c:pt>
                <c:pt idx="650">
                  <c:v>新时达</c:v>
                </c:pt>
                <c:pt idx="651">
                  <c:v>赣锋锂业</c:v>
                </c:pt>
                <c:pt idx="652">
                  <c:v>天虹股份</c:v>
                </c:pt>
                <c:pt idx="653">
                  <c:v>百润股份</c:v>
                </c:pt>
                <c:pt idx="654">
                  <c:v>珠江啤酒</c:v>
                </c:pt>
                <c:pt idx="655">
                  <c:v>英飞拓</c:v>
                </c:pt>
                <c:pt idx="656">
                  <c:v>新联电子</c:v>
                </c:pt>
                <c:pt idx="657">
                  <c:v>嘉事堂</c:v>
                </c:pt>
                <c:pt idx="658">
                  <c:v>金财互联</c:v>
                </c:pt>
                <c:pt idx="659">
                  <c:v>天齐锂业</c:v>
                </c:pt>
                <c:pt idx="660">
                  <c:v>沪电股份</c:v>
                </c:pt>
                <c:pt idx="661">
                  <c:v>天顺风能</c:v>
                </c:pt>
                <c:pt idx="662">
                  <c:v>二六三</c:v>
                </c:pt>
                <c:pt idx="663">
                  <c:v>众应互联</c:v>
                </c:pt>
                <c:pt idx="664">
                  <c:v>兴森科技</c:v>
                </c:pt>
                <c:pt idx="665">
                  <c:v>申通快递</c:v>
                </c:pt>
                <c:pt idx="666">
                  <c:v>海格通信</c:v>
                </c:pt>
                <c:pt idx="667">
                  <c:v>誉衡药业</c:v>
                </c:pt>
                <c:pt idx="668">
                  <c:v>金正大</c:v>
                </c:pt>
                <c:pt idx="669">
                  <c:v>春兴精工</c:v>
                </c:pt>
                <c:pt idx="670">
                  <c:v>启明星辰</c:v>
                </c:pt>
                <c:pt idx="671">
                  <c:v>中超控股</c:v>
                </c:pt>
                <c:pt idx="672">
                  <c:v>千红制药</c:v>
                </c:pt>
                <c:pt idx="673">
                  <c:v>闰土股份</c:v>
                </c:pt>
                <c:pt idx="674">
                  <c:v>达实智能</c:v>
                </c:pt>
                <c:pt idx="675">
                  <c:v>科伦药业</c:v>
                </c:pt>
                <c:pt idx="676">
                  <c:v>杭氧股份</c:v>
                </c:pt>
                <c:pt idx="677">
                  <c:v>太安堂</c:v>
                </c:pt>
                <c:pt idx="678">
                  <c:v>九安医疗</c:v>
                </c:pt>
                <c:pt idx="679">
                  <c:v>棕榈股份</c:v>
                </c:pt>
                <c:pt idx="680">
                  <c:v>万里扬</c:v>
                </c:pt>
                <c:pt idx="681">
                  <c:v>金禾实业</c:v>
                </c:pt>
                <c:pt idx="682">
                  <c:v>领益智造</c:v>
                </c:pt>
                <c:pt idx="683">
                  <c:v>龙蟒佰利</c:v>
                </c:pt>
                <c:pt idx="684">
                  <c:v>*ST因美</c:v>
                </c:pt>
                <c:pt idx="685">
                  <c:v>世纪华通</c:v>
                </c:pt>
                <c:pt idx="686">
                  <c:v>索菲亚</c:v>
                </c:pt>
                <c:pt idx="687">
                  <c:v>以岭药业</c:v>
                </c:pt>
                <c:pt idx="688">
                  <c:v>清新环境</c:v>
                </c:pt>
                <c:pt idx="689">
                  <c:v>*ST龙力</c:v>
                </c:pt>
                <c:pt idx="690">
                  <c:v>明牌珠宝</c:v>
                </c:pt>
                <c:pt idx="691">
                  <c:v>江苏国信</c:v>
                </c:pt>
                <c:pt idx="692">
                  <c:v>雷柏科技</c:v>
                </c:pt>
                <c:pt idx="693">
                  <c:v>捷顺科技</c:v>
                </c:pt>
                <c:pt idx="694">
                  <c:v>未名医药</c:v>
                </c:pt>
                <c:pt idx="695">
                  <c:v>海能达</c:v>
                </c:pt>
                <c:pt idx="696">
                  <c:v>围海股份</c:v>
                </c:pt>
                <c:pt idx="697">
                  <c:v>史丹利</c:v>
                </c:pt>
                <c:pt idx="698">
                  <c:v>瑞康医药</c:v>
                </c:pt>
                <c:pt idx="699">
                  <c:v>万安科技</c:v>
                </c:pt>
                <c:pt idx="700">
                  <c:v>比亚迪</c:v>
                </c:pt>
                <c:pt idx="701">
                  <c:v>豪迈科技</c:v>
                </c:pt>
                <c:pt idx="702">
                  <c:v>海南瑞泽</c:v>
                </c:pt>
                <c:pt idx="703">
                  <c:v>爱康科技</c:v>
                </c:pt>
                <c:pt idx="704">
                  <c:v>东方精工</c:v>
                </c:pt>
                <c:pt idx="705">
                  <c:v>朗姿股份</c:v>
                </c:pt>
                <c:pt idx="706">
                  <c:v>奥佳华</c:v>
                </c:pt>
                <c:pt idx="707">
                  <c:v>长青集团</c:v>
                </c:pt>
                <c:pt idx="708">
                  <c:v>富森美</c:v>
                </c:pt>
                <c:pt idx="709">
                  <c:v>凯莱英</c:v>
                </c:pt>
                <c:pt idx="710">
                  <c:v>万达电影</c:v>
                </c:pt>
                <c:pt idx="711">
                  <c:v>光华科技</c:v>
                </c:pt>
                <c:pt idx="712">
                  <c:v>木林森</c:v>
                </c:pt>
                <c:pt idx="713">
                  <c:v>易尚展示</c:v>
                </c:pt>
                <c:pt idx="714">
                  <c:v>昇兴股份</c:v>
                </c:pt>
                <c:pt idx="715">
                  <c:v>索菱股份</c:v>
                </c:pt>
                <c:pt idx="716">
                  <c:v>普路通</c:v>
                </c:pt>
                <c:pt idx="717">
                  <c:v>康弘药业</c:v>
                </c:pt>
                <c:pt idx="718">
                  <c:v>仙坛股份</c:v>
                </c:pt>
                <c:pt idx="719">
                  <c:v>可立克</c:v>
                </c:pt>
                <c:pt idx="720">
                  <c:v>银宝山新</c:v>
                </c:pt>
                <c:pt idx="721">
                  <c:v>坚朗五金</c:v>
                </c:pt>
                <c:pt idx="722">
                  <c:v>通宇通讯</c:v>
                </c:pt>
                <c:pt idx="723">
                  <c:v>第一创业</c:v>
                </c:pt>
                <c:pt idx="724">
                  <c:v>微光股份</c:v>
                </c:pt>
                <c:pt idx="725">
                  <c:v>洪汇新材</c:v>
                </c:pt>
                <c:pt idx="726">
                  <c:v>埃斯顿</c:v>
                </c:pt>
                <c:pt idx="727">
                  <c:v>江阴银行</c:v>
                </c:pt>
                <c:pt idx="728">
                  <c:v>恩捷股份</c:v>
                </c:pt>
                <c:pt idx="729">
                  <c:v>崇达技术</c:v>
                </c:pt>
                <c:pt idx="730">
                  <c:v>奋达科技</c:v>
                </c:pt>
                <c:pt idx="731">
                  <c:v>华东重机</c:v>
                </c:pt>
                <c:pt idx="732">
                  <c:v>美亚光电</c:v>
                </c:pt>
                <c:pt idx="733">
                  <c:v>博实股份</c:v>
                </c:pt>
                <c:pt idx="734">
                  <c:v>美盛文化</c:v>
                </c:pt>
                <c:pt idx="735">
                  <c:v>煌上煌</c:v>
                </c:pt>
                <c:pt idx="736">
                  <c:v>奥瑞金</c:v>
                </c:pt>
                <c:pt idx="737">
                  <c:v>红旗连锁</c:v>
                </c:pt>
                <c:pt idx="738">
                  <c:v>浙江世宝</c:v>
                </c:pt>
                <c:pt idx="739">
                  <c:v>众信旅游</c:v>
                </c:pt>
                <c:pt idx="740">
                  <c:v>天赐材料</c:v>
                </c:pt>
                <c:pt idx="741">
                  <c:v>欧浦智网</c:v>
                </c:pt>
                <c:pt idx="742">
                  <c:v>牧原股份</c:v>
                </c:pt>
                <c:pt idx="743">
                  <c:v>金贵银业</c:v>
                </c:pt>
                <c:pt idx="744">
                  <c:v>完美世界</c:v>
                </c:pt>
                <c:pt idx="745">
                  <c:v>岭南股份</c:v>
                </c:pt>
                <c:pt idx="746">
                  <c:v>光启技术</c:v>
                </c:pt>
                <c:pt idx="747">
                  <c:v>榕基软件</c:v>
                </c:pt>
                <c:pt idx="748">
                  <c:v>立讯精密</c:v>
                </c:pt>
                <c:pt idx="749">
                  <c:v>金一文化</c:v>
                </c:pt>
                <c:pt idx="750">
                  <c:v>金轮股份</c:v>
                </c:pt>
                <c:pt idx="751">
                  <c:v>一心堂</c:v>
                </c:pt>
                <c:pt idx="752">
                  <c:v>国信证券</c:v>
                </c:pt>
                <c:pt idx="753">
                  <c:v>葵花药业</c:v>
                </c:pt>
                <c:pt idx="754">
                  <c:v>露笑科技</c:v>
                </c:pt>
                <c:pt idx="755">
                  <c:v>丹邦科技</c:v>
                </c:pt>
                <c:pt idx="756">
                  <c:v>艾格拉斯</c:v>
                </c:pt>
                <c:pt idx="757">
                  <c:v>瑞和股份</c:v>
                </c:pt>
                <c:pt idx="758">
                  <c:v>融钰集团</c:v>
                </c:pt>
                <c:pt idx="759">
                  <c:v>金洲管道</c:v>
                </c:pt>
                <c:pt idx="760">
                  <c:v>金达威</c:v>
                </c:pt>
                <c:pt idx="761">
                  <c:v>成都路桥</c:v>
                </c:pt>
                <c:pt idx="762">
                  <c:v>尚荣医疗</c:v>
                </c:pt>
                <c:pt idx="763">
                  <c:v>惠博普</c:v>
                </c:pt>
                <c:pt idx="764">
                  <c:v>三七互娱</c:v>
                </c:pt>
                <c:pt idx="765">
                  <c:v>巨星科技</c:v>
                </c:pt>
                <c:pt idx="766">
                  <c:v>辉隆股份</c:v>
                </c:pt>
                <c:pt idx="767">
                  <c:v>ST中南</c:v>
                </c:pt>
                <c:pt idx="768">
                  <c:v>华西能源</c:v>
                </c:pt>
                <c:pt idx="769">
                  <c:v>洽洽食品</c:v>
                </c:pt>
                <c:pt idx="770">
                  <c:v>德尔未来</c:v>
                </c:pt>
                <c:pt idx="771">
                  <c:v>安洁科技</c:v>
                </c:pt>
                <c:pt idx="772">
                  <c:v>摩登大道</c:v>
                </c:pt>
                <c:pt idx="773">
                  <c:v>金安国纪</c:v>
                </c:pt>
                <c:pt idx="774">
                  <c:v>中科金财</c:v>
                </c:pt>
                <c:pt idx="775">
                  <c:v>勤上股份</c:v>
                </c:pt>
                <c:pt idx="776">
                  <c:v>雪迪龙</c:v>
                </c:pt>
                <c:pt idx="777">
                  <c:v>雪人股份</c:v>
                </c:pt>
                <c:pt idx="778">
                  <c:v>京威股份</c:v>
                </c:pt>
                <c:pt idx="779">
                  <c:v>跨境通</c:v>
                </c:pt>
                <c:pt idx="780">
                  <c:v>普邦股份</c:v>
                </c:pt>
                <c:pt idx="781">
                  <c:v>荣之联</c:v>
                </c:pt>
                <c:pt idx="782">
                  <c:v>长鹰信质</c:v>
                </c:pt>
                <c:pt idx="783">
                  <c:v>万润股份</c:v>
                </c:pt>
                <c:pt idx="784">
                  <c:v>青青稞酒</c:v>
                </c:pt>
                <c:pt idx="785">
                  <c:v>首航节能</c:v>
                </c:pt>
                <c:pt idx="786">
                  <c:v>奥马电器</c:v>
                </c:pt>
                <c:pt idx="787">
                  <c:v>卫星石化</c:v>
                </c:pt>
                <c:pt idx="788">
                  <c:v>国盛金控</c:v>
                </c:pt>
                <c:pt idx="789">
                  <c:v>博彦科技</c:v>
                </c:pt>
                <c:pt idx="790">
                  <c:v>加加食品</c:v>
                </c:pt>
                <c:pt idx="791">
                  <c:v>东江环保</c:v>
                </c:pt>
                <c:pt idx="792">
                  <c:v>利君股份</c:v>
                </c:pt>
                <c:pt idx="793">
                  <c:v>西部证券</c:v>
                </c:pt>
                <c:pt idx="794">
                  <c:v>探路者</c:v>
                </c:pt>
                <c:pt idx="795">
                  <c:v>海思科</c:v>
                </c:pt>
                <c:pt idx="796">
                  <c:v>莱美药业</c:v>
                </c:pt>
                <c:pt idx="797">
                  <c:v>万润科技</c:v>
                </c:pt>
                <c:pt idx="798">
                  <c:v>东诚药业</c:v>
                </c:pt>
                <c:pt idx="799">
                  <c:v>浙江美大</c:v>
                </c:pt>
                <c:pt idx="800">
                  <c:v>天海防务</c:v>
                </c:pt>
                <c:pt idx="801">
                  <c:v>安科生物</c:v>
                </c:pt>
                <c:pt idx="802">
                  <c:v>立思辰</c:v>
                </c:pt>
                <c:pt idx="803">
                  <c:v>鼎汉技术</c:v>
                </c:pt>
                <c:pt idx="804">
                  <c:v>华测检测</c:v>
                </c:pt>
                <c:pt idx="805">
                  <c:v>新宙邦</c:v>
                </c:pt>
                <c:pt idx="806">
                  <c:v>周大生</c:v>
                </c:pt>
                <c:pt idx="807">
                  <c:v>数知科技</c:v>
                </c:pt>
                <c:pt idx="808">
                  <c:v>长缆科技</c:v>
                </c:pt>
                <c:pt idx="809">
                  <c:v>亿纬锂能</c:v>
                </c:pt>
                <c:pt idx="810">
                  <c:v>上海凯宝</c:v>
                </c:pt>
                <c:pt idx="811">
                  <c:v>川恒股份</c:v>
                </c:pt>
                <c:pt idx="812">
                  <c:v>爱尔眼科</c:v>
                </c:pt>
                <c:pt idx="813">
                  <c:v>星辉娱乐</c:v>
                </c:pt>
                <c:pt idx="814">
                  <c:v>大博医疗</c:v>
                </c:pt>
                <c:pt idx="815">
                  <c:v>网宿科技</c:v>
                </c:pt>
                <c:pt idx="816">
                  <c:v>赛为智能</c:v>
                </c:pt>
                <c:pt idx="817">
                  <c:v>华阳集团</c:v>
                </c:pt>
                <c:pt idx="818">
                  <c:v>银江股份</c:v>
                </c:pt>
                <c:pt idx="819">
                  <c:v>华力创通</c:v>
                </c:pt>
                <c:pt idx="820">
                  <c:v>华森制药</c:v>
                </c:pt>
                <c:pt idx="821">
                  <c:v>大禹节水</c:v>
                </c:pt>
                <c:pt idx="822">
                  <c:v>天源迪科</c:v>
                </c:pt>
                <c:pt idx="823">
                  <c:v>庄园牧场</c:v>
                </c:pt>
                <c:pt idx="824">
                  <c:v>珠江钢琴</c:v>
                </c:pt>
                <c:pt idx="825">
                  <c:v>合康新能</c:v>
                </c:pt>
                <c:pt idx="826">
                  <c:v>佛燃股份</c:v>
                </c:pt>
                <c:pt idx="827">
                  <c:v>机器人</c:v>
                </c:pt>
                <c:pt idx="828">
                  <c:v>中新赛克</c:v>
                </c:pt>
                <c:pt idx="829">
                  <c:v>*ST长生</c:v>
                </c:pt>
                <c:pt idx="830">
                  <c:v>恒信东方</c:v>
                </c:pt>
                <c:pt idx="831">
                  <c:v>同兴达</c:v>
                </c:pt>
                <c:pt idx="832">
                  <c:v>劲胜智能</c:v>
                </c:pt>
                <c:pt idx="833">
                  <c:v>视源股份</c:v>
                </c:pt>
                <c:pt idx="834">
                  <c:v>三川智慧</c:v>
                </c:pt>
                <c:pt idx="835">
                  <c:v>南都电源</c:v>
                </c:pt>
                <c:pt idx="836">
                  <c:v>弘亚数控</c:v>
                </c:pt>
                <c:pt idx="837">
                  <c:v>碧水源</c:v>
                </c:pt>
                <c:pt idx="838">
                  <c:v>裕同科技</c:v>
                </c:pt>
                <c:pt idx="839">
                  <c:v>福瑞股份</c:v>
                </c:pt>
                <c:pt idx="840">
                  <c:v>华谊嘉信</c:v>
                </c:pt>
                <c:pt idx="841">
                  <c:v>三五互联</c:v>
                </c:pt>
                <c:pt idx="842">
                  <c:v>三聚环保</c:v>
                </c:pt>
                <c:pt idx="843">
                  <c:v>欧比特</c:v>
                </c:pt>
                <c:pt idx="844">
                  <c:v>当升科技</c:v>
                </c:pt>
                <c:pt idx="845">
                  <c:v>鼎龙股份</c:v>
                </c:pt>
                <c:pt idx="846">
                  <c:v>数字政通</c:v>
                </c:pt>
                <c:pt idx="847">
                  <c:v>万邦达</c:v>
                </c:pt>
                <c:pt idx="848">
                  <c:v>国民技术</c:v>
                </c:pt>
                <c:pt idx="849">
                  <c:v>三维丝</c:v>
                </c:pt>
                <c:pt idx="850">
                  <c:v>锦富技术</c:v>
                </c:pt>
                <c:pt idx="851">
                  <c:v>蓝色光标</c:v>
                </c:pt>
                <c:pt idx="852">
                  <c:v>英唐智控</c:v>
                </c:pt>
                <c:pt idx="853">
                  <c:v>东方财富</c:v>
                </c:pt>
                <c:pt idx="854">
                  <c:v>华策影视</c:v>
                </c:pt>
                <c:pt idx="855">
                  <c:v>大富科技</c:v>
                </c:pt>
                <c:pt idx="856">
                  <c:v>豫金刚石</c:v>
                </c:pt>
                <c:pt idx="857">
                  <c:v>信维通信</c:v>
                </c:pt>
                <c:pt idx="858">
                  <c:v>海兰信</c:v>
                </c:pt>
                <c:pt idx="859">
                  <c:v>先河环保</c:v>
                </c:pt>
                <c:pt idx="860">
                  <c:v>思创医惠</c:v>
                </c:pt>
                <c:pt idx="861">
                  <c:v>沃森生物</c:v>
                </c:pt>
                <c:pt idx="862">
                  <c:v>数码科技</c:v>
                </c:pt>
                <c:pt idx="863">
                  <c:v>宋城演艺</c:v>
                </c:pt>
                <c:pt idx="864">
                  <c:v>中金环境</c:v>
                </c:pt>
                <c:pt idx="865">
                  <c:v>汤臣倍健</c:v>
                </c:pt>
                <c:pt idx="866">
                  <c:v>洲明科技</c:v>
                </c:pt>
                <c:pt idx="867">
                  <c:v>香雪制药</c:v>
                </c:pt>
                <c:pt idx="868">
                  <c:v>上海新阳</c:v>
                </c:pt>
                <c:pt idx="869">
                  <c:v>天舟文化</c:v>
                </c:pt>
                <c:pt idx="870">
                  <c:v>美晨生态</c:v>
                </c:pt>
                <c:pt idx="871">
                  <c:v>科泰电源</c:v>
                </c:pt>
                <c:pt idx="872">
                  <c:v>冠昊生物</c:v>
                </c:pt>
                <c:pt idx="873">
                  <c:v>安居宝</c:v>
                </c:pt>
                <c:pt idx="874">
                  <c:v>神雾环保</c:v>
                </c:pt>
                <c:pt idx="875">
                  <c:v>恒泰艾普</c:v>
                </c:pt>
                <c:pt idx="876">
                  <c:v>新研股份</c:v>
                </c:pt>
                <c:pt idx="877">
                  <c:v>红日药业</c:v>
                </c:pt>
                <c:pt idx="878">
                  <c:v>奥士康</c:v>
                </c:pt>
                <c:pt idx="879">
                  <c:v>华谊兄弟</c:v>
                </c:pt>
                <c:pt idx="880">
                  <c:v>深南电路</c:v>
                </c:pt>
                <c:pt idx="881">
                  <c:v>宝通科技</c:v>
                </c:pt>
                <c:pt idx="882">
                  <c:v>蒙娜丽莎</c:v>
                </c:pt>
                <c:pt idx="883">
                  <c:v>德赛西威</c:v>
                </c:pt>
                <c:pt idx="884">
                  <c:v>金龙机电</c:v>
                </c:pt>
                <c:pt idx="885">
                  <c:v>郑州银行</c:v>
                </c:pt>
                <c:pt idx="886">
                  <c:v>同花顺</c:v>
                </c:pt>
                <c:pt idx="887">
                  <c:v>特锐德</c:v>
                </c:pt>
                <c:pt idx="888">
                  <c:v>科达利</c:v>
                </c:pt>
                <c:pt idx="889">
                  <c:v>神州泰岳</c:v>
                </c:pt>
                <c:pt idx="890">
                  <c:v>洁美科技</c:v>
                </c:pt>
                <c:pt idx="891">
                  <c:v>乐普医疗</c:v>
                </c:pt>
                <c:pt idx="892">
                  <c:v>南风股份</c:v>
                </c:pt>
                <c:pt idx="893">
                  <c:v>迪安诊断</c:v>
                </c:pt>
                <c:pt idx="894">
                  <c:v>钢研高纳</c:v>
                </c:pt>
                <c:pt idx="895">
                  <c:v>天玑科技</c:v>
                </c:pt>
                <c:pt idx="896">
                  <c:v>超图软件</c:v>
                </c:pt>
                <c:pt idx="897">
                  <c:v>乐金健康</c:v>
                </c:pt>
                <c:pt idx="898">
                  <c:v>新开普</c:v>
                </c:pt>
                <c:pt idx="899">
                  <c:v>光线传媒</c:v>
                </c:pt>
                <c:pt idx="900">
                  <c:v>金信诺</c:v>
                </c:pt>
                <c:pt idx="901">
                  <c:v>银之杰</c:v>
                </c:pt>
                <c:pt idx="902">
                  <c:v>长信科技</c:v>
                </c:pt>
                <c:pt idx="903">
                  <c:v>盛运环保</c:v>
                </c:pt>
                <c:pt idx="904">
                  <c:v>金通灵</c:v>
                </c:pt>
                <c:pt idx="905">
                  <c:v>易联众</c:v>
                </c:pt>
                <c:pt idx="906">
                  <c:v>乾照光电</c:v>
                </c:pt>
                <c:pt idx="907">
                  <c:v>乐视网</c:v>
                </c:pt>
                <c:pt idx="908">
                  <c:v>新开源</c:v>
                </c:pt>
                <c:pt idx="909">
                  <c:v>华仁药业</c:v>
                </c:pt>
                <c:pt idx="910">
                  <c:v>顺网科技</c:v>
                </c:pt>
                <c:pt idx="911">
                  <c:v>长盈精密</c:v>
                </c:pt>
                <c:pt idx="912">
                  <c:v>坚瑞沃能</c:v>
                </c:pt>
                <c:pt idx="913">
                  <c:v>东方日升</c:v>
                </c:pt>
                <c:pt idx="914">
                  <c:v>美亚柏科</c:v>
                </c:pt>
                <c:pt idx="915">
                  <c:v>智飞生物</c:v>
                </c:pt>
                <c:pt idx="916">
                  <c:v>潜能恒信</c:v>
                </c:pt>
                <c:pt idx="917">
                  <c:v>汇川技术</c:v>
                </c:pt>
                <c:pt idx="918">
                  <c:v>铁汉生态</c:v>
                </c:pt>
                <c:pt idx="919">
                  <c:v>汉得信息</c:v>
                </c:pt>
                <c:pt idx="920">
                  <c:v>翰宇药业</c:v>
                </c:pt>
                <c:pt idx="921">
                  <c:v>东富龙</c:v>
                </c:pt>
                <c:pt idx="922">
                  <c:v>聚龙股份</c:v>
                </c:pt>
                <c:pt idx="923">
                  <c:v>朗源股份</c:v>
                </c:pt>
                <c:pt idx="924">
                  <c:v>聚光科技</c:v>
                </c:pt>
                <c:pt idx="925">
                  <c:v>中海达</c:v>
                </c:pt>
                <c:pt idx="926">
                  <c:v>舒泰神</c:v>
                </c:pt>
                <c:pt idx="927">
                  <c:v>腾邦国际</c:v>
                </c:pt>
                <c:pt idx="928">
                  <c:v>天喻信息</c:v>
                </c:pt>
                <c:pt idx="929">
                  <c:v>华峰超纤</c:v>
                </c:pt>
                <c:pt idx="930">
                  <c:v>欣旺达</c:v>
                </c:pt>
                <c:pt idx="931">
                  <c:v>捷成股份</c:v>
                </c:pt>
                <c:pt idx="932">
                  <c:v>易华录</c:v>
                </c:pt>
                <c:pt idx="933">
                  <c:v>东软载波</c:v>
                </c:pt>
                <c:pt idx="934">
                  <c:v>中颖电子</c:v>
                </c:pt>
                <c:pt idx="935">
                  <c:v>智云股份</c:v>
                </c:pt>
                <c:pt idx="936">
                  <c:v>天壕环境</c:v>
                </c:pt>
                <c:pt idx="937">
                  <c:v>高新兴</c:v>
                </c:pt>
                <c:pt idx="938">
                  <c:v>津膜科技</c:v>
                </c:pt>
                <c:pt idx="939">
                  <c:v>精准信息</c:v>
                </c:pt>
                <c:pt idx="940">
                  <c:v>迪森股份</c:v>
                </c:pt>
                <c:pt idx="941">
                  <c:v>新文化</c:v>
                </c:pt>
                <c:pt idx="942">
                  <c:v>双林股份</c:v>
                </c:pt>
                <c:pt idx="943">
                  <c:v>卫宁健康</c:v>
                </c:pt>
                <c:pt idx="944">
                  <c:v>振芯科技</c:v>
                </c:pt>
                <c:pt idx="945">
                  <c:v>常山药业</c:v>
                </c:pt>
                <c:pt idx="946">
                  <c:v>星星科技</c:v>
                </c:pt>
                <c:pt idx="947">
                  <c:v>开山股份</c:v>
                </c:pt>
                <c:pt idx="948">
                  <c:v>巴安水务</c:v>
                </c:pt>
                <c:pt idx="949">
                  <c:v>秀强股份</c:v>
                </c:pt>
                <c:pt idx="950">
                  <c:v>隆华科技</c:v>
                </c:pt>
                <c:pt idx="951">
                  <c:v>汉鼎宇佑</c:v>
                </c:pt>
                <c:pt idx="952">
                  <c:v>通裕重工</c:v>
                </c:pt>
                <c:pt idx="953">
                  <c:v>张家港行</c:v>
                </c:pt>
                <c:pt idx="954">
                  <c:v>永清环保</c:v>
                </c:pt>
                <c:pt idx="955">
                  <c:v>兴源环境</c:v>
                </c:pt>
                <c:pt idx="956">
                  <c:v>同有科技</c:v>
                </c:pt>
                <c:pt idx="957">
                  <c:v>飞凯材料</c:v>
                </c:pt>
                <c:pt idx="958">
                  <c:v>九强生物</c:v>
                </c:pt>
                <c:pt idx="959">
                  <c:v>三环集团</c:v>
                </c:pt>
                <c:pt idx="960">
                  <c:v>道氏技术</c:v>
                </c:pt>
                <c:pt idx="961">
                  <c:v>芒果超媒</c:v>
                </c:pt>
                <c:pt idx="962">
                  <c:v>昆仑万维</c:v>
                </c:pt>
                <c:pt idx="963">
                  <c:v>博世科</c:v>
                </c:pt>
                <c:pt idx="964">
                  <c:v>红相股份</c:v>
                </c:pt>
                <c:pt idx="965">
                  <c:v>暴风集团</c:v>
                </c:pt>
                <c:pt idx="966">
                  <c:v>永贵电器</c:v>
                </c:pt>
                <c:pt idx="967">
                  <c:v>富临精工</c:v>
                </c:pt>
                <c:pt idx="968">
                  <c:v>北信源</c:v>
                </c:pt>
                <c:pt idx="969">
                  <c:v>蓝思科技</c:v>
                </c:pt>
                <c:pt idx="970">
                  <c:v>东土科技</c:v>
                </c:pt>
                <c:pt idx="971">
                  <c:v>鹏辉能源</c:v>
                </c:pt>
                <c:pt idx="972">
                  <c:v>蒙草生态</c:v>
                </c:pt>
                <c:pt idx="973">
                  <c:v>美康生物</c:v>
                </c:pt>
                <c:pt idx="974">
                  <c:v>我武生物</c:v>
                </c:pt>
                <c:pt idx="975">
                  <c:v>金雷风电</c:v>
                </c:pt>
                <c:pt idx="976">
                  <c:v>全通教育</c:v>
                </c:pt>
                <c:pt idx="977">
                  <c:v>先导智能</c:v>
                </c:pt>
                <c:pt idx="978">
                  <c:v>博腾股份</c:v>
                </c:pt>
                <c:pt idx="979">
                  <c:v>创业软件</c:v>
                </c:pt>
                <c:pt idx="980">
                  <c:v>中文在线</c:v>
                </c:pt>
                <c:pt idx="981">
                  <c:v>赢合科技</c:v>
                </c:pt>
                <c:pt idx="982">
                  <c:v>东方网力</c:v>
                </c:pt>
                <c:pt idx="983">
                  <c:v>全志科技</c:v>
                </c:pt>
                <c:pt idx="984">
                  <c:v>汇金股份</c:v>
                </c:pt>
                <c:pt idx="985">
                  <c:v>长亮科技</c:v>
                </c:pt>
                <c:pt idx="986">
                  <c:v>金卡智能</c:v>
                </c:pt>
                <c:pt idx="987">
                  <c:v>绿盟科技</c:v>
                </c:pt>
                <c:pt idx="988">
                  <c:v>扬杰科技</c:v>
                </c:pt>
                <c:pt idx="989">
                  <c:v>易事特</c:v>
                </c:pt>
                <c:pt idx="990">
                  <c:v>赢时胜</c:v>
                </c:pt>
                <c:pt idx="991">
                  <c:v>鼎捷软件</c:v>
                </c:pt>
                <c:pt idx="992">
                  <c:v>东方通</c:v>
                </c:pt>
                <c:pt idx="993">
                  <c:v>光环新网</c:v>
                </c:pt>
                <c:pt idx="994">
                  <c:v>飞天诚信</c:v>
                </c:pt>
                <c:pt idx="995">
                  <c:v>科恒股份</c:v>
                </c:pt>
                <c:pt idx="996">
                  <c:v>金科文化</c:v>
                </c:pt>
                <c:pt idx="997">
                  <c:v>迈克生物</c:v>
                </c:pt>
                <c:pt idx="998">
                  <c:v>迅游科技</c:v>
                </c:pt>
                <c:pt idx="999">
                  <c:v>景嘉微</c:v>
                </c:pt>
                <c:pt idx="1000">
                  <c:v>胜宏科技</c:v>
                </c:pt>
                <c:pt idx="1001">
                  <c:v>濮阳惠成</c:v>
                </c:pt>
                <c:pt idx="1002">
                  <c:v>万孚生物</c:v>
                </c:pt>
                <c:pt idx="1003">
                  <c:v>尔康制药</c:v>
                </c:pt>
                <c:pt idx="1004">
                  <c:v>聚飞光电</c:v>
                </c:pt>
                <c:pt idx="1005">
                  <c:v>中国应急</c:v>
                </c:pt>
                <c:pt idx="1006">
                  <c:v>健帆生物</c:v>
                </c:pt>
                <c:pt idx="1007">
                  <c:v>云意电气</c:v>
                </c:pt>
                <c:pt idx="1008">
                  <c:v>优博讯</c:v>
                </c:pt>
                <c:pt idx="1009">
                  <c:v>慈星股份</c:v>
                </c:pt>
                <c:pt idx="1010">
                  <c:v>贝达药业</c:v>
                </c:pt>
                <c:pt idx="1011">
                  <c:v>精测电子</c:v>
                </c:pt>
                <c:pt idx="1012">
                  <c:v>中际旭创</c:v>
                </c:pt>
                <c:pt idx="1013">
                  <c:v>康泰生物</c:v>
                </c:pt>
                <c:pt idx="1014">
                  <c:v>宜通世纪</c:v>
                </c:pt>
                <c:pt idx="1015">
                  <c:v>富瀚微</c:v>
                </c:pt>
                <c:pt idx="1016">
                  <c:v>联建光电</c:v>
                </c:pt>
                <c:pt idx="1017">
                  <c:v>蓝海华腾</c:v>
                </c:pt>
                <c:pt idx="1018">
                  <c:v>华宇软件</c:v>
                </c:pt>
                <c:pt idx="1019">
                  <c:v>赛升药业</c:v>
                </c:pt>
                <c:pt idx="1020">
                  <c:v>和佳股份</c:v>
                </c:pt>
                <c:pt idx="1021">
                  <c:v>盛天网络</c:v>
                </c:pt>
                <c:pt idx="1022">
                  <c:v>阳光电源</c:v>
                </c:pt>
                <c:pt idx="1023">
                  <c:v>美尚生态</c:v>
                </c:pt>
                <c:pt idx="1024">
                  <c:v>三丰智能</c:v>
                </c:pt>
                <c:pt idx="1025">
                  <c:v>中科创达</c:v>
                </c:pt>
                <c:pt idx="1026">
                  <c:v>苏交科</c:v>
                </c:pt>
                <c:pt idx="1027">
                  <c:v>温氏股份</c:v>
                </c:pt>
                <c:pt idx="1028">
                  <c:v>国瓷材料</c:v>
                </c:pt>
                <c:pt idx="1029">
                  <c:v>新易盛</c:v>
                </c:pt>
                <c:pt idx="1030">
                  <c:v>飞利信</c:v>
                </c:pt>
                <c:pt idx="1031">
                  <c:v>昊志机电</c:v>
                </c:pt>
                <c:pt idx="1032">
                  <c:v>朗玛信息</c:v>
                </c:pt>
                <c:pt idx="1033">
                  <c:v>名家汇</c:v>
                </c:pt>
                <c:pt idx="1034">
                  <c:v>华录百纳</c:v>
                </c:pt>
                <c:pt idx="1035">
                  <c:v>吴通控股</c:v>
                </c:pt>
                <c:pt idx="1036">
                  <c:v>博雅生物</c:v>
                </c:pt>
                <c:pt idx="1037">
                  <c:v>三六五网</c:v>
                </c:pt>
                <c:pt idx="1038">
                  <c:v>利亚德</c:v>
                </c:pt>
                <c:pt idx="1039">
                  <c:v>苏奥传感</c:v>
                </c:pt>
                <c:pt idx="1040">
                  <c:v>蓝盾股份</c:v>
                </c:pt>
                <c:pt idx="1041">
                  <c:v>维宏股份</c:v>
                </c:pt>
                <c:pt idx="1042">
                  <c:v>三诺生物</c:v>
                </c:pt>
                <c:pt idx="1043">
                  <c:v>雪榕生物</c:v>
                </c:pt>
                <c:pt idx="1044">
                  <c:v>富春股份</c:v>
                </c:pt>
                <c:pt idx="1045">
                  <c:v>久之洋</c:v>
                </c:pt>
                <c:pt idx="1046">
                  <c:v>盛讯达</c:v>
                </c:pt>
                <c:pt idx="1047">
                  <c:v>宏达电子</c:v>
                </c:pt>
                <c:pt idx="1048">
                  <c:v>光弘科技</c:v>
                </c:pt>
                <c:pt idx="1049">
                  <c:v>东方国信</c:v>
                </c:pt>
                <c:pt idx="1050">
                  <c:v>万达信息</c:v>
                </c:pt>
                <c:pt idx="1051">
                  <c:v>电科院</c:v>
                </c:pt>
                <c:pt idx="1052">
                  <c:v>千山药机</c:v>
                </c:pt>
                <c:pt idx="1053">
                  <c:v>银禧科技</c:v>
                </c:pt>
                <c:pt idx="1054">
                  <c:v>科大智能</c:v>
                </c:pt>
                <c:pt idx="1055">
                  <c:v>北京君正</c:v>
                </c:pt>
                <c:pt idx="1056">
                  <c:v>正海磁材</c:v>
                </c:pt>
                <c:pt idx="1057">
                  <c:v>上海钢联</c:v>
                </c:pt>
                <c:pt idx="1058">
                  <c:v>富瑞特装</c:v>
                </c:pt>
                <c:pt idx="1059">
                  <c:v>拓尔思</c:v>
                </c:pt>
                <c:pt idx="1060">
                  <c:v>任子行</c:v>
                </c:pt>
                <c:pt idx="1061">
                  <c:v>银信科技</c:v>
                </c:pt>
                <c:pt idx="1062">
                  <c:v>尚品宅配</c:v>
                </c:pt>
                <c:pt idx="1063">
                  <c:v>寒锐钴业</c:v>
                </c:pt>
                <c:pt idx="1064">
                  <c:v>捷捷微电</c:v>
                </c:pt>
                <c:pt idx="1065">
                  <c:v>亿联网络</c:v>
                </c:pt>
                <c:pt idx="1066">
                  <c:v>江丰电子</c:v>
                </c:pt>
                <c:pt idx="1067">
                  <c:v>国科微</c:v>
                </c:pt>
                <c:pt idx="1068">
                  <c:v>华大基因</c:v>
                </c:pt>
                <c:pt idx="1069">
                  <c:v>电连技术</c:v>
                </c:pt>
                <c:pt idx="1070">
                  <c:v>艾德生物</c:v>
                </c:pt>
                <c:pt idx="1071">
                  <c:v>光威复材</c:v>
                </c:pt>
                <c:pt idx="1072">
                  <c:v>阿石创</c:v>
                </c:pt>
                <c:pt idx="1073">
                  <c:v>聚灿光电</c:v>
                </c:pt>
                <c:pt idx="1074">
                  <c:v>药石科技</c:v>
                </c:pt>
                <c:pt idx="1075">
                  <c:v>戴维医疗</c:v>
                </c:pt>
                <c:pt idx="1076">
                  <c:v>掌趣科技</c:v>
                </c:pt>
                <c:pt idx="1077">
                  <c:v>晶盛机电</c:v>
                </c:pt>
                <c:pt idx="1078">
                  <c:v>珈伟新能</c:v>
                </c:pt>
                <c:pt idx="1079">
                  <c:v>硕贝德</c:v>
                </c:pt>
                <c:pt idx="1080">
                  <c:v>华灿光电</c:v>
                </c:pt>
                <c:pt idx="1081">
                  <c:v>旋极信息</c:v>
                </c:pt>
                <c:pt idx="1082">
                  <c:v>银邦股份</c:v>
                </c:pt>
                <c:pt idx="1083">
                  <c:v>泰格医药</c:v>
                </c:pt>
                <c:pt idx="1084">
                  <c:v>润和软件</c:v>
                </c:pt>
                <c:pt idx="1085">
                  <c:v>联创互联</c:v>
                </c:pt>
                <c:pt idx="1086">
                  <c:v>腾信股份</c:v>
                </c:pt>
              </c:strCache>
            </c:strRef>
          </c:xVal>
          <c:yVal>
            <c:numRef>
              <c:f>万得!$F$2:$F$1090</c:f>
              <c:numCache>
                <c:formatCode>#,##0.0000</c:formatCode>
                <c:ptCount val="1089"/>
                <c:pt idx="0">
                  <c:v>0.1121727453304151</c:v>
                </c:pt>
                <c:pt idx="1">
                  <c:v>2.1964558983103437</c:v>
                </c:pt>
                <c:pt idx="2">
                  <c:v>2.6463173332359982</c:v>
                </c:pt>
                <c:pt idx="3">
                  <c:v>1.2462057779750321E-3</c:v>
                </c:pt>
                <c:pt idx="4">
                  <c:v>0.16798283827101779</c:v>
                </c:pt>
                <c:pt idx="5">
                  <c:v>0.21839631254502898</c:v>
                </c:pt>
                <c:pt idx="6">
                  <c:v>1.2116407800654669</c:v>
                </c:pt>
                <c:pt idx="7">
                  <c:v>0.39393855769170188</c:v>
                </c:pt>
                <c:pt idx="8">
                  <c:v>2.1172754898995976E-4</c:v>
                </c:pt>
                <c:pt idx="9">
                  <c:v>0.60404835896012155</c:v>
                </c:pt>
                <c:pt idx="10">
                  <c:v>0.25757333678348127</c:v>
                </c:pt>
                <c:pt idx="11">
                  <c:v>1.6758206074417716</c:v>
                </c:pt>
                <c:pt idx="12">
                  <c:v>2.3232331086435942</c:v>
                </c:pt>
                <c:pt idx="13">
                  <c:v>0.57963413422003185</c:v>
                </c:pt>
                <c:pt idx="14">
                  <c:v>0.42823064791076532</c:v>
                </c:pt>
                <c:pt idx="15">
                  <c:v>0.50398087425352867</c:v>
                </c:pt>
                <c:pt idx="16">
                  <c:v>0.30299106385384089</c:v>
                </c:pt>
                <c:pt idx="17">
                  <c:v>0.33437557375381149</c:v>
                </c:pt>
                <c:pt idx="18">
                  <c:v>0.7103195260001367</c:v>
                </c:pt>
                <c:pt idx="19">
                  <c:v>1.8814115193272821E-2</c:v>
                </c:pt>
                <c:pt idx="20">
                  <c:v>2.5687911081182659</c:v>
                </c:pt>
                <c:pt idx="21">
                  <c:v>0.29924805670932675</c:v>
                </c:pt>
                <c:pt idx="22">
                  <c:v>6.2747227079831217E-4</c:v>
                </c:pt>
                <c:pt idx="23">
                  <c:v>9.2340697976887949</c:v>
                </c:pt>
                <c:pt idx="24">
                  <c:v>0.46111534850905372</c:v>
                </c:pt>
                <c:pt idx="25">
                  <c:v>0.48527020945756111</c:v>
                </c:pt>
                <c:pt idx="26">
                  <c:v>0.62565967953886592</c:v>
                </c:pt>
                <c:pt idx="27">
                  <c:v>0.78075300226663424</c:v>
                </c:pt>
                <c:pt idx="28">
                  <c:v>0.99446358340553942</c:v>
                </c:pt>
                <c:pt idx="29">
                  <c:v>4.2092951566205114E-2</c:v>
                </c:pt>
                <c:pt idx="30">
                  <c:v>0.51919072100675656</c:v>
                </c:pt>
                <c:pt idx="31">
                  <c:v>1.9013728443930678E-3</c:v>
                </c:pt>
                <c:pt idx="32">
                  <c:v>4.9893385154252033E-2</c:v>
                </c:pt>
                <c:pt idx="33">
                  <c:v>0.32797134021483143</c:v>
                </c:pt>
                <c:pt idx="34">
                  <c:v>4.3738261576764866E-2</c:v>
                </c:pt>
                <c:pt idx="35">
                  <c:v>0.32594966299787059</c:v>
                </c:pt>
                <c:pt idx="36">
                  <c:v>0.26331374404882335</c:v>
                </c:pt>
                <c:pt idx="37">
                  <c:v>0.48170945369184831</c:v>
                </c:pt>
                <c:pt idx="38">
                  <c:v>1.0829426911827513</c:v>
                </c:pt>
                <c:pt idx="39">
                  <c:v>0.25803910142425585</c:v>
                </c:pt>
                <c:pt idx="40">
                  <c:v>0.48200589517573506</c:v>
                </c:pt>
                <c:pt idx="41">
                  <c:v>0.75509731523855861</c:v>
                </c:pt>
                <c:pt idx="42">
                  <c:v>0.11912116562778266</c:v>
                </c:pt>
                <c:pt idx="43">
                  <c:v>1.4183970693473247</c:v>
                </c:pt>
                <c:pt idx="44">
                  <c:v>0.93931404097995175</c:v>
                </c:pt>
                <c:pt idx="45">
                  <c:v>8.8847552983513267E-2</c:v>
                </c:pt>
                <c:pt idx="46">
                  <c:v>0.66049574365228103</c:v>
                </c:pt>
                <c:pt idx="47">
                  <c:v>0.12126940281322462</c:v>
                </c:pt>
                <c:pt idx="48">
                  <c:v>0.27524948033696278</c:v>
                </c:pt>
                <c:pt idx="49">
                  <c:v>0.23503432002988969</c:v>
                </c:pt>
                <c:pt idx="50">
                  <c:v>0.15592917186121744</c:v>
                </c:pt>
                <c:pt idx="51">
                  <c:v>0.23723495965449248</c:v>
                </c:pt>
                <c:pt idx="52">
                  <c:v>0.38894721056907638</c:v>
                </c:pt>
                <c:pt idx="53">
                  <c:v>5.2818144372361292E-2</c:v>
                </c:pt>
                <c:pt idx="54">
                  <c:v>0.4742391821928339</c:v>
                </c:pt>
                <c:pt idx="55">
                  <c:v>1.3144542460526532E-2</c:v>
                </c:pt>
                <c:pt idx="56">
                  <c:v>3.285762238430761E-3</c:v>
                </c:pt>
                <c:pt idx="57">
                  <c:v>2.9732322832237927</c:v>
                </c:pt>
                <c:pt idx="58">
                  <c:v>7.1852181728496953</c:v>
                </c:pt>
                <c:pt idx="59">
                  <c:v>1.9418039761186681E-2</c:v>
                </c:pt>
                <c:pt idx="60">
                  <c:v>0.70402237450841165</c:v>
                </c:pt>
                <c:pt idx="61">
                  <c:v>2.0800221843087567</c:v>
                </c:pt>
                <c:pt idx="62">
                  <c:v>0.19147342439884502</c:v>
                </c:pt>
                <c:pt idx="63">
                  <c:v>4.9073278132765723E-3</c:v>
                </c:pt>
                <c:pt idx="64">
                  <c:v>1.2864946953975356</c:v>
                </c:pt>
                <c:pt idx="65">
                  <c:v>0.31756331763925644</c:v>
                </c:pt>
                <c:pt idx="66">
                  <c:v>13.8548758238787</c:v>
                </c:pt>
                <c:pt idx="67">
                  <c:v>6.0973254906976884</c:v>
                </c:pt>
                <c:pt idx="68">
                  <c:v>0.77427668537489192</c:v>
                </c:pt>
                <c:pt idx="69">
                  <c:v>0.24611420641505571</c:v>
                </c:pt>
                <c:pt idx="70">
                  <c:v>0.46546601488549738</c:v>
                </c:pt>
                <c:pt idx="71">
                  <c:v>0.17451647312384921</c:v>
                </c:pt>
                <c:pt idx="72">
                  <c:v>9.4832312230542545E-2</c:v>
                </c:pt>
                <c:pt idx="73">
                  <c:v>4.5295144481889231</c:v>
                </c:pt>
                <c:pt idx="74">
                  <c:v>0.15456717470479744</c:v>
                </c:pt>
                <c:pt idx="75">
                  <c:v>0.84555899555860004</c:v>
                </c:pt>
                <c:pt idx="76">
                  <c:v>0.44274362180965487</c:v>
                </c:pt>
                <c:pt idx="77">
                  <c:v>0.77860072136512348</c:v>
                </c:pt>
                <c:pt idx="78">
                  <c:v>9.776752233910023E-2</c:v>
                </c:pt>
                <c:pt idx="79">
                  <c:v>0.47169441261656775</c:v>
                </c:pt>
                <c:pt idx="80">
                  <c:v>0.10497694603809075</c:v>
                </c:pt>
                <c:pt idx="81">
                  <c:v>2.4882370235861209</c:v>
                </c:pt>
                <c:pt idx="82">
                  <c:v>0.45651158888215798</c:v>
                </c:pt>
                <c:pt idx="83">
                  <c:v>6.5643129955550433E-7</c:v>
                </c:pt>
                <c:pt idx="84">
                  <c:v>0.12729102127754208</c:v>
                </c:pt>
                <c:pt idx="85">
                  <c:v>0.23096188957978533</c:v>
                </c:pt>
                <c:pt idx="86">
                  <c:v>4.8242025929120323E-2</c:v>
                </c:pt>
                <c:pt idx="87">
                  <c:v>0.91261493200831079</c:v>
                </c:pt>
                <c:pt idx="88">
                  <c:v>0.34427477239788667</c:v>
                </c:pt>
                <c:pt idx="89">
                  <c:v>1.8973954891455568E-4</c:v>
                </c:pt>
                <c:pt idx="90">
                  <c:v>7.0902744175823484E-2</c:v>
                </c:pt>
                <c:pt idx="91">
                  <c:v>0.17406802378864719</c:v>
                </c:pt>
                <c:pt idx="92">
                  <c:v>0.72032502771835194</c:v>
                </c:pt>
                <c:pt idx="93">
                  <c:v>9.2461080148955183E-2</c:v>
                </c:pt>
                <c:pt idx="94">
                  <c:v>0.83387448461350488</c:v>
                </c:pt>
                <c:pt idx="95">
                  <c:v>0.43202504568141831</c:v>
                </c:pt>
                <c:pt idx="96">
                  <c:v>2.52758833360765E-5</c:v>
                </c:pt>
                <c:pt idx="97">
                  <c:v>4.9678142915288777E-2</c:v>
                </c:pt>
                <c:pt idx="98">
                  <c:v>0.34091843449557951</c:v>
                </c:pt>
                <c:pt idx="99">
                  <c:v>8.1194061520471608E-2</c:v>
                </c:pt>
                <c:pt idx="100">
                  <c:v>1.3273864724302415E-5</c:v>
                </c:pt>
                <c:pt idx="101">
                  <c:v>0.42134403089453731</c:v>
                </c:pt>
                <c:pt idx="102">
                  <c:v>3.2262403904835764</c:v>
                </c:pt>
                <c:pt idx="103">
                  <c:v>1.4763223857075481E-3</c:v>
                </c:pt>
                <c:pt idx="104">
                  <c:v>3.6974125384780035E-5</c:v>
                </c:pt>
                <c:pt idx="105">
                  <c:v>3.1655751242804807E-2</c:v>
                </c:pt>
                <c:pt idx="106">
                  <c:v>6.9919585659332971E-3</c:v>
                </c:pt>
                <c:pt idx="107">
                  <c:v>2.3260364632081707</c:v>
                </c:pt>
                <c:pt idx="108">
                  <c:v>2.3644437144159276E-2</c:v>
                </c:pt>
                <c:pt idx="109">
                  <c:v>0.44158766191618032</c:v>
                </c:pt>
                <c:pt idx="110">
                  <c:v>1.553300210892967</c:v>
                </c:pt>
                <c:pt idx="111">
                  <c:v>1.454428348902743</c:v>
                </c:pt>
                <c:pt idx="112">
                  <c:v>0.32992327590917847</c:v>
                </c:pt>
                <c:pt idx="113">
                  <c:v>0.67958886692289477</c:v>
                </c:pt>
                <c:pt idx="114">
                  <c:v>7.8259531807812364</c:v>
                </c:pt>
                <c:pt idx="115">
                  <c:v>0.4142114371224398</c:v>
                </c:pt>
                <c:pt idx="116">
                  <c:v>0.60122571099946565</c:v>
                </c:pt>
                <c:pt idx="117">
                  <c:v>7.7505718454027997E-2</c:v>
                </c:pt>
                <c:pt idx="118">
                  <c:v>0.48252257068317855</c:v>
                </c:pt>
                <c:pt idx="119">
                  <c:v>8.3145254427613571E-2</c:v>
                </c:pt>
                <c:pt idx="120">
                  <c:v>5.1256044389224754E-3</c:v>
                </c:pt>
                <c:pt idx="121">
                  <c:v>0.2856429269700318</c:v>
                </c:pt>
                <c:pt idx="122">
                  <c:v>0.52613642979618458</c:v>
                </c:pt>
                <c:pt idx="123">
                  <c:v>0.10030554180027362</c:v>
                </c:pt>
                <c:pt idx="124">
                  <c:v>0.58174064956341065</c:v>
                </c:pt>
                <c:pt idx="125">
                  <c:v>0.71161282363310774</c:v>
                </c:pt>
                <c:pt idx="126">
                  <c:v>1.0014028612189941E-2</c:v>
                </c:pt>
                <c:pt idx="127">
                  <c:v>0.54351497714487895</c:v>
                </c:pt>
                <c:pt idx="128">
                  <c:v>5.9938292151657134E-3</c:v>
                </c:pt>
                <c:pt idx="129">
                  <c:v>1.4128816616978705E-2</c:v>
                </c:pt>
                <c:pt idx="130">
                  <c:v>0.23274583158215714</c:v>
                </c:pt>
                <c:pt idx="131">
                  <c:v>3.1168969364659977</c:v>
                </c:pt>
                <c:pt idx="132">
                  <c:v>1.4152532367668393</c:v>
                </c:pt>
                <c:pt idx="133">
                  <c:v>0.17370627675932318</c:v>
                </c:pt>
                <c:pt idx="134">
                  <c:v>2.7055214221530656E-2</c:v>
                </c:pt>
                <c:pt idx="135">
                  <c:v>1.0523527896800993</c:v>
                </c:pt>
                <c:pt idx="136">
                  <c:v>8.237306435402169E-3</c:v>
                </c:pt>
                <c:pt idx="137">
                  <c:v>0.35713586288835431</c:v>
                </c:pt>
                <c:pt idx="138">
                  <c:v>0.26558477834709504</c:v>
                </c:pt>
                <c:pt idx="139">
                  <c:v>0.27167133342933825</c:v>
                </c:pt>
                <c:pt idx="140">
                  <c:v>0.10642814951228079</c:v>
                </c:pt>
                <c:pt idx="141">
                  <c:v>3.9170680185773286</c:v>
                </c:pt>
                <c:pt idx="142">
                  <c:v>5.0388622651608934E-2</c:v>
                </c:pt>
                <c:pt idx="143">
                  <c:v>8.2508556346116997</c:v>
                </c:pt>
                <c:pt idx="144">
                  <c:v>2.5042295147247151E-2</c:v>
                </c:pt>
                <c:pt idx="145">
                  <c:v>6.5987998727888904E-3</c:v>
                </c:pt>
                <c:pt idx="146">
                  <c:v>0.2583363170002268</c:v>
                </c:pt>
                <c:pt idx="147">
                  <c:v>0.23988108607512981</c:v>
                </c:pt>
                <c:pt idx="148">
                  <c:v>1.1951990067681246</c:v>
                </c:pt>
                <c:pt idx="149">
                  <c:v>1.0376849585908504E-2</c:v>
                </c:pt>
                <c:pt idx="150">
                  <c:v>0.28019989204952356</c:v>
                </c:pt>
                <c:pt idx="151">
                  <c:v>1.7033742503440774</c:v>
                </c:pt>
                <c:pt idx="152">
                  <c:v>0.92451568555251151</c:v>
                </c:pt>
                <c:pt idx="153">
                  <c:v>0.88257194994785226</c:v>
                </c:pt>
                <c:pt idx="154">
                  <c:v>15.345146146178354</c:v>
                </c:pt>
                <c:pt idx="155">
                  <c:v>0.33876354015936588</c:v>
                </c:pt>
                <c:pt idx="156">
                  <c:v>0.73208744588049124</c:v>
                </c:pt>
                <c:pt idx="157">
                  <c:v>0.62330363180826509</c:v>
                </c:pt>
                <c:pt idx="158">
                  <c:v>0.88186082112378461</c:v>
                </c:pt>
                <c:pt idx="159">
                  <c:v>1.6301526140878841</c:v>
                </c:pt>
                <c:pt idx="160">
                  <c:v>1.6431120147148981</c:v>
                </c:pt>
                <c:pt idx="161">
                  <c:v>0.8366742946994683</c:v>
                </c:pt>
                <c:pt idx="162">
                  <c:v>8.1868624289677247E-4</c:v>
                </c:pt>
                <c:pt idx="163">
                  <c:v>0.51565473431552666</c:v>
                </c:pt>
                <c:pt idx="164">
                  <c:v>0.36976334574908831</c:v>
                </c:pt>
                <c:pt idx="165">
                  <c:v>1.510759120167058</c:v>
                </c:pt>
                <c:pt idx="166">
                  <c:v>5.6328362534028145</c:v>
                </c:pt>
                <c:pt idx="167">
                  <c:v>0.45241088406983615</c:v>
                </c:pt>
                <c:pt idx="168">
                  <c:v>0.30125030972625338</c:v>
                </c:pt>
                <c:pt idx="169">
                  <c:v>0.94736573272333879</c:v>
                </c:pt>
                <c:pt idx="170">
                  <c:v>0.18364859624190791</c:v>
                </c:pt>
                <c:pt idx="171">
                  <c:v>0.16476055038186921</c:v>
                </c:pt>
                <c:pt idx="172">
                  <c:v>0.21850900274221938</c:v>
                </c:pt>
                <c:pt idx="173">
                  <c:v>0.37203698026278526</c:v>
                </c:pt>
                <c:pt idx="174">
                  <c:v>0.18627837931308511</c:v>
                </c:pt>
                <c:pt idx="175">
                  <c:v>1.8971417201228743E-2</c:v>
                </c:pt>
                <c:pt idx="176">
                  <c:v>1.9124179257937444</c:v>
                </c:pt>
                <c:pt idx="177">
                  <c:v>4.0614192751804393E-3</c:v>
                </c:pt>
                <c:pt idx="178">
                  <c:v>2.052155858964445E-2</c:v>
                </c:pt>
                <c:pt idx="179">
                  <c:v>2.5377238783061058</c:v>
                </c:pt>
                <c:pt idx="180">
                  <c:v>0.17776622295713942</c:v>
                </c:pt>
                <c:pt idx="181">
                  <c:v>0.56357902103727153</c:v>
                </c:pt>
                <c:pt idx="182">
                  <c:v>0.22292466394580368</c:v>
                </c:pt>
                <c:pt idx="183">
                  <c:v>2.8687281524383552</c:v>
                </c:pt>
                <c:pt idx="184">
                  <c:v>0.25750318116744836</c:v>
                </c:pt>
                <c:pt idx="185">
                  <c:v>0.76915487007834182</c:v>
                </c:pt>
                <c:pt idx="186">
                  <c:v>0.37041542115894827</c:v>
                </c:pt>
                <c:pt idx="187">
                  <c:v>0.60293288308295556</c:v>
                </c:pt>
                <c:pt idx="188">
                  <c:v>0.23820866947601901</c:v>
                </c:pt>
                <c:pt idx="189">
                  <c:v>0.3517505424870534</c:v>
                </c:pt>
                <c:pt idx="190">
                  <c:v>0.49754076219499244</c:v>
                </c:pt>
                <c:pt idx="191">
                  <c:v>1.1424054830938701</c:v>
                </c:pt>
                <c:pt idx="192">
                  <c:v>0.1882068333764072</c:v>
                </c:pt>
                <c:pt idx="193">
                  <c:v>0.23794834038020643</c:v>
                </c:pt>
                <c:pt idx="194">
                  <c:v>0.48574418394927726</c:v>
                </c:pt>
                <c:pt idx="195">
                  <c:v>0.75153479428147363</c:v>
                </c:pt>
                <c:pt idx="196">
                  <c:v>0.17808023404986706</c:v>
                </c:pt>
                <c:pt idx="197">
                  <c:v>0.24133843342391087</c:v>
                </c:pt>
                <c:pt idx="198">
                  <c:v>0.14764947901197423</c:v>
                </c:pt>
                <c:pt idx="199">
                  <c:v>0.37287446262051605</c:v>
                </c:pt>
                <c:pt idx="200">
                  <c:v>1.2117187638511061E-3</c:v>
                </c:pt>
                <c:pt idx="201">
                  <c:v>8.7396003785408224E-2</c:v>
                </c:pt>
                <c:pt idx="202">
                  <c:v>0.17100726010101044</c:v>
                </c:pt>
                <c:pt idx="203">
                  <c:v>0.49497002969755138</c:v>
                </c:pt>
                <c:pt idx="204">
                  <c:v>5.8606975090121832E-2</c:v>
                </c:pt>
                <c:pt idx="205">
                  <c:v>0.42479096788667814</c:v>
                </c:pt>
                <c:pt idx="206">
                  <c:v>1.1856829954036839E-3</c:v>
                </c:pt>
                <c:pt idx="207">
                  <c:v>0.29147137946546653</c:v>
                </c:pt>
                <c:pt idx="208">
                  <c:v>7.7559072966098902E-2</c:v>
                </c:pt>
                <c:pt idx="209">
                  <c:v>0.63324872558721668</c:v>
                </c:pt>
                <c:pt idx="210">
                  <c:v>2.0362945269634247</c:v>
                </c:pt>
                <c:pt idx="211">
                  <c:v>0.79333835191391577</c:v>
                </c:pt>
                <c:pt idx="212">
                  <c:v>7.6400699715502784E-2</c:v>
                </c:pt>
                <c:pt idx="213">
                  <c:v>0.66313113518612865</c:v>
                </c:pt>
                <c:pt idx="214">
                  <c:v>4.3875986842105433E-2</c:v>
                </c:pt>
                <c:pt idx="215">
                  <c:v>0.46622347202834291</c:v>
                </c:pt>
                <c:pt idx="216">
                  <c:v>0.21847550034268748</c:v>
                </c:pt>
                <c:pt idx="217">
                  <c:v>1.898504991108384</c:v>
                </c:pt>
                <c:pt idx="218">
                  <c:v>0.22491736365043388</c:v>
                </c:pt>
                <c:pt idx="219">
                  <c:v>0.30274310978345181</c:v>
                </c:pt>
                <c:pt idx="220">
                  <c:v>0.21409262828695186</c:v>
                </c:pt>
                <c:pt idx="221">
                  <c:v>0.2991678506032503</c:v>
                </c:pt>
                <c:pt idx="222">
                  <c:v>8.6223062584873778E-2</c:v>
                </c:pt>
                <c:pt idx="223">
                  <c:v>0.21668164914761209</c:v>
                </c:pt>
                <c:pt idx="224">
                  <c:v>0.46722034577164712</c:v>
                </c:pt>
                <c:pt idx="225">
                  <c:v>0.23980173174912744</c:v>
                </c:pt>
                <c:pt idx="226">
                  <c:v>4.6259351211063278</c:v>
                </c:pt>
                <c:pt idx="227">
                  <c:v>0.7058049811213013</c:v>
                </c:pt>
                <c:pt idx="228">
                  <c:v>2.569488114598188</c:v>
                </c:pt>
                <c:pt idx="229">
                  <c:v>0.40166893025295236</c:v>
                </c:pt>
                <c:pt idx="230">
                  <c:v>1.1939526438595391</c:v>
                </c:pt>
                <c:pt idx="231">
                  <c:v>0.12472989751360312</c:v>
                </c:pt>
                <c:pt idx="232">
                  <c:v>8.2422747595301425E-5</c:v>
                </c:pt>
                <c:pt idx="233">
                  <c:v>2.0283488130707337</c:v>
                </c:pt>
                <c:pt idx="234">
                  <c:v>0.19667278892399587</c:v>
                </c:pt>
                <c:pt idx="235">
                  <c:v>0.81392013781705952</c:v>
                </c:pt>
                <c:pt idx="236">
                  <c:v>0.25059117151928756</c:v>
                </c:pt>
                <c:pt idx="237">
                  <c:v>0.36790160801910732</c:v>
                </c:pt>
                <c:pt idx="238">
                  <c:v>2.8556145683140671E-3</c:v>
                </c:pt>
                <c:pt idx="239">
                  <c:v>2.2490425755251009E-2</c:v>
                </c:pt>
                <c:pt idx="240">
                  <c:v>9.3749034756672724</c:v>
                </c:pt>
                <c:pt idx="241">
                  <c:v>1.6869195575595055</c:v>
                </c:pt>
                <c:pt idx="242">
                  <c:v>8.8930222553265215E-2</c:v>
                </c:pt>
                <c:pt idx="243">
                  <c:v>0.83093790286235758</c:v>
                </c:pt>
                <c:pt idx="244">
                  <c:v>4.570023155955092E-2</c:v>
                </c:pt>
                <c:pt idx="245">
                  <c:v>2.1874488532545597</c:v>
                </c:pt>
                <c:pt idx="246">
                  <c:v>2.8760932240797978E-2</c:v>
                </c:pt>
                <c:pt idx="247">
                  <c:v>0.3854090555613538</c:v>
                </c:pt>
                <c:pt idx="248">
                  <c:v>1.2296382819432119</c:v>
                </c:pt>
                <c:pt idx="249">
                  <c:v>9.8805591861183747E-2</c:v>
                </c:pt>
                <c:pt idx="250">
                  <c:v>0.1539598939914997</c:v>
                </c:pt>
                <c:pt idx="251">
                  <c:v>6.3301616985239034E-2</c:v>
                </c:pt>
                <c:pt idx="252">
                  <c:v>0.22268209906968467</c:v>
                </c:pt>
                <c:pt idx="253">
                  <c:v>8.9958887508532745E-2</c:v>
                </c:pt>
                <c:pt idx="254">
                  <c:v>6.8899428203399475</c:v>
                </c:pt>
                <c:pt idx="255">
                  <c:v>2.4729768427107635</c:v>
                </c:pt>
                <c:pt idx="256">
                  <c:v>0.28841386000781594</c:v>
                </c:pt>
                <c:pt idx="257">
                  <c:v>3.8805945610107346</c:v>
                </c:pt>
                <c:pt idx="258">
                  <c:v>0.22180826161760289</c:v>
                </c:pt>
                <c:pt idx="259">
                  <c:v>2.3130863456079682</c:v>
                </c:pt>
                <c:pt idx="260">
                  <c:v>2.4862686767701228E-3</c:v>
                </c:pt>
                <c:pt idx="261">
                  <c:v>0.33956767944826666</c:v>
                </c:pt>
                <c:pt idx="262">
                  <c:v>3.8304993464871382</c:v>
                </c:pt>
                <c:pt idx="263">
                  <c:v>1.0773572684103581E-2</c:v>
                </c:pt>
                <c:pt idx="264">
                  <c:v>0.56739535323758905</c:v>
                </c:pt>
                <c:pt idx="265">
                  <c:v>8.8355415432138526E-2</c:v>
                </c:pt>
                <c:pt idx="266">
                  <c:v>1.0435380001687873</c:v>
                </c:pt>
                <c:pt idx="267">
                  <c:v>0.58146387456444559</c:v>
                </c:pt>
                <c:pt idx="268">
                  <c:v>0.1371371598749499</c:v>
                </c:pt>
                <c:pt idx="269">
                  <c:v>3.5859967297145125E-6</c:v>
                </c:pt>
                <c:pt idx="270">
                  <c:v>0.31889412103758336</c:v>
                </c:pt>
                <c:pt idx="271">
                  <c:v>1.6445822732926241</c:v>
                </c:pt>
                <c:pt idx="272">
                  <c:v>0.7892648202003899</c:v>
                </c:pt>
                <c:pt idx="273">
                  <c:v>0.10041261663667571</c:v>
                </c:pt>
                <c:pt idx="274">
                  <c:v>0.95827648452358505</c:v>
                </c:pt>
                <c:pt idx="275">
                  <c:v>0.22843367924626301</c:v>
                </c:pt>
                <c:pt idx="276">
                  <c:v>2.0810086051582474E-3</c:v>
                </c:pt>
                <c:pt idx="277">
                  <c:v>2.4982950993349387</c:v>
                </c:pt>
                <c:pt idx="278">
                  <c:v>1.8117918669106217</c:v>
                </c:pt>
                <c:pt idx="279">
                  <c:v>6.623129881158424</c:v>
                </c:pt>
                <c:pt idx="280">
                  <c:v>0.76403837009836584</c:v>
                </c:pt>
                <c:pt idx="281">
                  <c:v>0.56373040003115693</c:v>
                </c:pt>
                <c:pt idx="282">
                  <c:v>9.0535332816911147</c:v>
                </c:pt>
                <c:pt idx="283">
                  <c:v>4.2672953127163025</c:v>
                </c:pt>
                <c:pt idx="284">
                  <c:v>0.31332672186184635</c:v>
                </c:pt>
                <c:pt idx="285">
                  <c:v>0.16566183197577539</c:v>
                </c:pt>
                <c:pt idx="286">
                  <c:v>0.15097709567339287</c:v>
                </c:pt>
                <c:pt idx="287">
                  <c:v>0.6051422996420831</c:v>
                </c:pt>
                <c:pt idx="288">
                  <c:v>1.0438436676481258</c:v>
                </c:pt>
                <c:pt idx="289">
                  <c:v>0.57185957872076032</c:v>
                </c:pt>
                <c:pt idx="290">
                  <c:v>2.6309951868264982E-4</c:v>
                </c:pt>
                <c:pt idx="291">
                  <c:v>8.3362726518445083</c:v>
                </c:pt>
                <c:pt idx="292">
                  <c:v>2.1415181288296714</c:v>
                </c:pt>
                <c:pt idx="293">
                  <c:v>0.33209110323333491</c:v>
                </c:pt>
                <c:pt idx="294">
                  <c:v>15.015117464487682</c:v>
                </c:pt>
                <c:pt idx="295">
                  <c:v>4.1828673534177525E-2</c:v>
                </c:pt>
                <c:pt idx="296">
                  <c:v>3.6837695472578661E-3</c:v>
                </c:pt>
                <c:pt idx="297">
                  <c:v>0.33271115307360338</c:v>
                </c:pt>
                <c:pt idx="298">
                  <c:v>0.15411002861265918</c:v>
                </c:pt>
                <c:pt idx="299">
                  <c:v>5.7177729419748934E-3</c:v>
                </c:pt>
                <c:pt idx="300">
                  <c:v>0.40121602036344794</c:v>
                </c:pt>
                <c:pt idx="301">
                  <c:v>2.9479919805719756</c:v>
                </c:pt>
                <c:pt idx="302">
                  <c:v>2.1829023996449381E-2</c:v>
                </c:pt>
                <c:pt idx="303">
                  <c:v>8.3190203825316347E-3</c:v>
                </c:pt>
                <c:pt idx="304">
                  <c:v>4.7977964638192823E-2</c:v>
                </c:pt>
                <c:pt idx="305">
                  <c:v>0.52458116202375948</c:v>
                </c:pt>
                <c:pt idx="306">
                  <c:v>0.1591702823198704</c:v>
                </c:pt>
                <c:pt idx="307">
                  <c:v>6.8415919648602552E-2</c:v>
                </c:pt>
                <c:pt idx="308">
                  <c:v>0.31784116640682158</c:v>
                </c:pt>
                <c:pt idx="309">
                  <c:v>0.63964458395678181</c:v>
                </c:pt>
                <c:pt idx="310">
                  <c:v>6.6674400968572578E-2</c:v>
                </c:pt>
                <c:pt idx="311">
                  <c:v>0.49619318366753568</c:v>
                </c:pt>
                <c:pt idx="312">
                  <c:v>0.31339914939072261</c:v>
                </c:pt>
                <c:pt idx="313">
                  <c:v>3.3370223697699816E-5</c:v>
                </c:pt>
                <c:pt idx="314">
                  <c:v>0.51626685377000059</c:v>
                </c:pt>
                <c:pt idx="315">
                  <c:v>0.44389812376110555</c:v>
                </c:pt>
                <c:pt idx="316">
                  <c:v>3.3312111151627977</c:v>
                </c:pt>
                <c:pt idx="317">
                  <c:v>0.23015761555886863</c:v>
                </c:pt>
                <c:pt idx="318">
                  <c:v>8.0176211453744459E-3</c:v>
                </c:pt>
                <c:pt idx="319">
                  <c:v>1.3441339526218541</c:v>
                </c:pt>
                <c:pt idx="320">
                  <c:v>0.47998281641789564</c:v>
                </c:pt>
                <c:pt idx="321">
                  <c:v>0.40017085946617076</c:v>
                </c:pt>
                <c:pt idx="322">
                  <c:v>0.17414072987856261</c:v>
                </c:pt>
                <c:pt idx="323">
                  <c:v>4.1431261770244818E-4</c:v>
                </c:pt>
                <c:pt idx="324">
                  <c:v>1.0647089688413051E-3</c:v>
                </c:pt>
                <c:pt idx="325">
                  <c:v>0.55004019488191658</c:v>
                </c:pt>
                <c:pt idx="326">
                  <c:v>4.1226739978110901E-3</c:v>
                </c:pt>
                <c:pt idx="327">
                  <c:v>0.42009420730421304</c:v>
                </c:pt>
                <c:pt idx="328">
                  <c:v>0.34007538490424943</c:v>
                </c:pt>
                <c:pt idx="329">
                  <c:v>0.39566191552616187</c:v>
                </c:pt>
                <c:pt idx="330">
                  <c:v>3.5241886631941681E-3</c:v>
                </c:pt>
                <c:pt idx="331">
                  <c:v>0.6009977196821461</c:v>
                </c:pt>
                <c:pt idx="332">
                  <c:v>0.60996663345455249</c:v>
                </c:pt>
                <c:pt idx="333">
                  <c:v>0.27811944876846256</c:v>
                </c:pt>
                <c:pt idx="334">
                  <c:v>8.2640351906350037E-2</c:v>
                </c:pt>
                <c:pt idx="335">
                  <c:v>0.40109659371595802</c:v>
                </c:pt>
                <c:pt idx="336">
                  <c:v>0.31622197669697188</c:v>
                </c:pt>
                <c:pt idx="337">
                  <c:v>0.11325258643501222</c:v>
                </c:pt>
                <c:pt idx="338">
                  <c:v>0.48602603367000902</c:v>
                </c:pt>
                <c:pt idx="339">
                  <c:v>0.34265992356436231</c:v>
                </c:pt>
                <c:pt idx="340">
                  <c:v>0.63469570613963489</c:v>
                </c:pt>
                <c:pt idx="341">
                  <c:v>0.57089551527451421</c:v>
                </c:pt>
                <c:pt idx="342">
                  <c:v>0.61342038994647641</c:v>
                </c:pt>
                <c:pt idx="343">
                  <c:v>1.3977803438019762</c:v>
                </c:pt>
                <c:pt idx="344">
                  <c:v>0.72951249006234997</c:v>
                </c:pt>
                <c:pt idx="345">
                  <c:v>8.1262859893969544E-2</c:v>
                </c:pt>
                <c:pt idx="346">
                  <c:v>0.49607884611179132</c:v>
                </c:pt>
                <c:pt idx="347">
                  <c:v>0.12496478258301692</c:v>
                </c:pt>
                <c:pt idx="348">
                  <c:v>0.38077626460384806</c:v>
                </c:pt>
                <c:pt idx="349">
                  <c:v>0.107143126728523</c:v>
                </c:pt>
                <c:pt idx="350">
                  <c:v>1.1258783554804468E-2</c:v>
                </c:pt>
                <c:pt idx="351">
                  <c:v>0.8657478298806488</c:v>
                </c:pt>
                <c:pt idx="352">
                  <c:v>1.2869888614877943E-2</c:v>
                </c:pt>
                <c:pt idx="353">
                  <c:v>0.69678431450613665</c:v>
                </c:pt>
                <c:pt idx="354">
                  <c:v>0.17781733985388642</c:v>
                </c:pt>
                <c:pt idx="355">
                  <c:v>5.9991240326916904</c:v>
                </c:pt>
                <c:pt idx="356">
                  <c:v>3.8671265456826018E-3</c:v>
                </c:pt>
                <c:pt idx="357">
                  <c:v>8.6405387604027362E-5</c:v>
                </c:pt>
                <c:pt idx="358">
                  <c:v>1.058933515883546E-2</c:v>
                </c:pt>
                <c:pt idx="359">
                  <c:v>1.3189833631727201</c:v>
                </c:pt>
                <c:pt idx="360">
                  <c:v>1.0881130533265411</c:v>
                </c:pt>
                <c:pt idx="361">
                  <c:v>3.0923611715066492E-3</c:v>
                </c:pt>
                <c:pt idx="362">
                  <c:v>0.23861661543203441</c:v>
                </c:pt>
                <c:pt idx="363">
                  <c:v>1.3426251798155941</c:v>
                </c:pt>
                <c:pt idx="364">
                  <c:v>9.9498455530014268E-2</c:v>
                </c:pt>
                <c:pt idx="365">
                  <c:v>0.35815886195164498</c:v>
                </c:pt>
                <c:pt idx="366">
                  <c:v>6.0784517714371024E-2</c:v>
                </c:pt>
                <c:pt idx="367">
                  <c:v>0.65629068014174885</c:v>
                </c:pt>
                <c:pt idx="368">
                  <c:v>7.2385904306161404</c:v>
                </c:pt>
                <c:pt idx="369">
                  <c:v>0.25272119286069961</c:v>
                </c:pt>
                <c:pt idx="370">
                  <c:v>7.0829600135749568E-4</c:v>
                </c:pt>
                <c:pt idx="371">
                  <c:v>4.3281455680068255E-2</c:v>
                </c:pt>
                <c:pt idx="372">
                  <c:v>1.0382224843109453</c:v>
                </c:pt>
                <c:pt idx="373">
                  <c:v>1.4695301148237381</c:v>
                </c:pt>
                <c:pt idx="374">
                  <c:v>0.87283744963351551</c:v>
                </c:pt>
                <c:pt idx="375">
                  <c:v>0.32286813562558053</c:v>
                </c:pt>
                <c:pt idx="376">
                  <c:v>1.4278779178406718</c:v>
                </c:pt>
                <c:pt idx="377">
                  <c:v>1.1249701260894149</c:v>
                </c:pt>
                <c:pt idx="378">
                  <c:v>0.34380344257758977</c:v>
                </c:pt>
                <c:pt idx="379">
                  <c:v>3.474486183195357E-2</c:v>
                </c:pt>
                <c:pt idx="380">
                  <c:v>0.16185226373180353</c:v>
                </c:pt>
                <c:pt idx="381">
                  <c:v>0.18193968750000342</c:v>
                </c:pt>
                <c:pt idx="382">
                  <c:v>1.805333607371681</c:v>
                </c:pt>
                <c:pt idx="383">
                  <c:v>0.20326879118833632</c:v>
                </c:pt>
                <c:pt idx="384">
                  <c:v>0.69374646780036586</c:v>
                </c:pt>
                <c:pt idx="385">
                  <c:v>2.3705783002735043E-3</c:v>
                </c:pt>
                <c:pt idx="386">
                  <c:v>0.19678812691623276</c:v>
                </c:pt>
                <c:pt idx="387">
                  <c:v>7.6987310731811923E-3</c:v>
                </c:pt>
                <c:pt idx="388">
                  <c:v>0.34838862303689555</c:v>
                </c:pt>
                <c:pt idx="389">
                  <c:v>0.69241947715780694</c:v>
                </c:pt>
                <c:pt idx="390">
                  <c:v>0.19684121503968557</c:v>
                </c:pt>
                <c:pt idx="391">
                  <c:v>0.49497647619001389</c:v>
                </c:pt>
                <c:pt idx="392">
                  <c:v>0.78718485224218349</c:v>
                </c:pt>
                <c:pt idx="393">
                  <c:v>0.22805544650546392</c:v>
                </c:pt>
                <c:pt idx="394">
                  <c:v>0.29227184418556068</c:v>
                </c:pt>
                <c:pt idx="395">
                  <c:v>3.8375307434986052E-2</c:v>
                </c:pt>
                <c:pt idx="396">
                  <c:v>0.24815902416271921</c:v>
                </c:pt>
                <c:pt idx="397">
                  <c:v>0.17784992079124992</c:v>
                </c:pt>
                <c:pt idx="398">
                  <c:v>0.24437611321808317</c:v>
                </c:pt>
                <c:pt idx="399">
                  <c:v>0.3218917969128734</c:v>
                </c:pt>
                <c:pt idx="400">
                  <c:v>0.49386575746141792</c:v>
                </c:pt>
                <c:pt idx="401">
                  <c:v>8.7263039143185474E-3</c:v>
                </c:pt>
                <c:pt idx="402">
                  <c:v>0.356758544476521</c:v>
                </c:pt>
                <c:pt idx="403">
                  <c:v>0.20873014242087518</c:v>
                </c:pt>
                <c:pt idx="404">
                  <c:v>0.18761868971456291</c:v>
                </c:pt>
                <c:pt idx="405">
                  <c:v>8.6836536798609867</c:v>
                </c:pt>
                <c:pt idx="406">
                  <c:v>5.8284473030154365</c:v>
                </c:pt>
                <c:pt idx="407">
                  <c:v>0.13191207341011993</c:v>
                </c:pt>
                <c:pt idx="408">
                  <c:v>0.44560977259996581</c:v>
                </c:pt>
                <c:pt idx="409">
                  <c:v>0.31023660370876238</c:v>
                </c:pt>
                <c:pt idx="410">
                  <c:v>0.30872657570401557</c:v>
                </c:pt>
                <c:pt idx="411">
                  <c:v>0.30156164677419617</c:v>
                </c:pt>
                <c:pt idx="412">
                  <c:v>0.5411050460685225</c:v>
                </c:pt>
                <c:pt idx="413">
                  <c:v>0.43606445071516531</c:v>
                </c:pt>
                <c:pt idx="414">
                  <c:v>0.98518230910255045</c:v>
                </c:pt>
                <c:pt idx="415">
                  <c:v>4.0672210470723511E-4</c:v>
                </c:pt>
                <c:pt idx="416">
                  <c:v>0.91117313146344781</c:v>
                </c:pt>
                <c:pt idx="417">
                  <c:v>1.5863684773343938</c:v>
                </c:pt>
                <c:pt idx="418">
                  <c:v>0.32385582765196524</c:v>
                </c:pt>
                <c:pt idx="419">
                  <c:v>0.33761692331721327</c:v>
                </c:pt>
                <c:pt idx="420">
                  <c:v>0.35237639856882824</c:v>
                </c:pt>
                <c:pt idx="421">
                  <c:v>7.2309504135591923E-2</c:v>
                </c:pt>
                <c:pt idx="422">
                  <c:v>0.97184886257201908</c:v>
                </c:pt>
                <c:pt idx="423">
                  <c:v>0.37729373351858225</c:v>
                </c:pt>
                <c:pt idx="424">
                  <c:v>0.33123587840504287</c:v>
                </c:pt>
                <c:pt idx="425">
                  <c:v>0.23612766418060288</c:v>
                </c:pt>
                <c:pt idx="426">
                  <c:v>7.6001784342359283E-2</c:v>
                </c:pt>
                <c:pt idx="427">
                  <c:v>1.1453835218363491E-4</c:v>
                </c:pt>
                <c:pt idx="428">
                  <c:v>0.39367245470080814</c:v>
                </c:pt>
                <c:pt idx="429">
                  <c:v>0.1614987838958245</c:v>
                </c:pt>
                <c:pt idx="430">
                  <c:v>0.20916876057092862</c:v>
                </c:pt>
                <c:pt idx="431">
                  <c:v>0.51888247440561219</c:v>
                </c:pt>
                <c:pt idx="432">
                  <c:v>0.24181813577853944</c:v>
                </c:pt>
                <c:pt idx="433">
                  <c:v>1.5737898688222522</c:v>
                </c:pt>
                <c:pt idx="434">
                  <c:v>2.684373630119264E-2</c:v>
                </c:pt>
                <c:pt idx="435">
                  <c:v>0.54485597105511363</c:v>
                </c:pt>
                <c:pt idx="436">
                  <c:v>0.35116074663387542</c:v>
                </c:pt>
                <c:pt idx="437">
                  <c:v>7.0994148066428203E-2</c:v>
                </c:pt>
                <c:pt idx="438">
                  <c:v>0.28721280346791678</c:v>
                </c:pt>
                <c:pt idx="439">
                  <c:v>2.1103779094987174</c:v>
                </c:pt>
                <c:pt idx="440">
                  <c:v>7.9353739493887048E-5</c:v>
                </c:pt>
                <c:pt idx="441">
                  <c:v>0.19273504826544691</c:v>
                </c:pt>
                <c:pt idx="442">
                  <c:v>1.9266909002606545</c:v>
                </c:pt>
                <c:pt idx="443">
                  <c:v>0.66057541617926319</c:v>
                </c:pt>
                <c:pt idx="444">
                  <c:v>1.0156103223905529E-2</c:v>
                </c:pt>
                <c:pt idx="445">
                  <c:v>6.752880737849405E-3</c:v>
                </c:pt>
                <c:pt idx="446">
                  <c:v>9.4851735796221068E-2</c:v>
                </c:pt>
                <c:pt idx="447">
                  <c:v>0.39736813529345127</c:v>
                </c:pt>
                <c:pt idx="448">
                  <c:v>9.7317434983445417E-2</c:v>
                </c:pt>
                <c:pt idx="449">
                  <c:v>6.7702808981329174E-2</c:v>
                </c:pt>
                <c:pt idx="450">
                  <c:v>1.0595605448538852E-4</c:v>
                </c:pt>
                <c:pt idx="451">
                  <c:v>4.5090875128120404E-3</c:v>
                </c:pt>
                <c:pt idx="452">
                  <c:v>6.695839681517213E-5</c:v>
                </c:pt>
                <c:pt idx="453">
                  <c:v>2.1947254623906605</c:v>
                </c:pt>
                <c:pt idx="454">
                  <c:v>3.0557222887003652</c:v>
                </c:pt>
                <c:pt idx="455">
                  <c:v>5.5216567509658718</c:v>
                </c:pt>
                <c:pt idx="456">
                  <c:v>0.9027036134675912</c:v>
                </c:pt>
                <c:pt idx="457">
                  <c:v>1.2649384779375248</c:v>
                </c:pt>
                <c:pt idx="458">
                  <c:v>2.3623429829148037E-3</c:v>
                </c:pt>
                <c:pt idx="459">
                  <c:v>4.3201570660753655E-2</c:v>
                </c:pt>
                <c:pt idx="460">
                  <c:v>1.6554876288061415</c:v>
                </c:pt>
                <c:pt idx="461">
                  <c:v>1.5727213340414499E-2</c:v>
                </c:pt>
                <c:pt idx="462">
                  <c:v>7.9185520361990983E-4</c:v>
                </c:pt>
                <c:pt idx="463">
                  <c:v>0.19150440260458235</c:v>
                </c:pt>
                <c:pt idx="464">
                  <c:v>1.939682573592767</c:v>
                </c:pt>
                <c:pt idx="465">
                  <c:v>1.1811153782493583E-2</c:v>
                </c:pt>
                <c:pt idx="466">
                  <c:v>3.9670294226638827</c:v>
                </c:pt>
                <c:pt idx="467">
                  <c:v>7.7219535360662506E-2</c:v>
                </c:pt>
                <c:pt idx="468">
                  <c:v>0.12218659844775062</c:v>
                </c:pt>
                <c:pt idx="469">
                  <c:v>0.11820093160044831</c:v>
                </c:pt>
                <c:pt idx="470">
                  <c:v>1.3967322932152682</c:v>
                </c:pt>
                <c:pt idx="471">
                  <c:v>0.34284419277863032</c:v>
                </c:pt>
                <c:pt idx="472">
                  <c:v>3.7973731194667812E-3</c:v>
                </c:pt>
                <c:pt idx="473">
                  <c:v>0.18439837616181778</c:v>
                </c:pt>
                <c:pt idx="474">
                  <c:v>2.2080379499898976E-4</c:v>
                </c:pt>
                <c:pt idx="475">
                  <c:v>0.83587606601906461</c:v>
                </c:pt>
                <c:pt idx="476">
                  <c:v>1.5251878675575937E-4</c:v>
                </c:pt>
                <c:pt idx="477">
                  <c:v>1.0886036031704861E-3</c:v>
                </c:pt>
                <c:pt idx="478">
                  <c:v>0.2658861813680144</c:v>
                </c:pt>
                <c:pt idx="479">
                  <c:v>0.55958571489159681</c:v>
                </c:pt>
                <c:pt idx="480">
                  <c:v>0.4330092603273874</c:v>
                </c:pt>
                <c:pt idx="481">
                  <c:v>0.44550340631105018</c:v>
                </c:pt>
                <c:pt idx="482">
                  <c:v>0.55370520582258764</c:v>
                </c:pt>
                <c:pt idx="483">
                  <c:v>0.57023211198551649</c:v>
                </c:pt>
                <c:pt idx="484">
                  <c:v>0.9875546783250263</c:v>
                </c:pt>
                <c:pt idx="485">
                  <c:v>0.51894763679851408</c:v>
                </c:pt>
                <c:pt idx="486">
                  <c:v>9.4302441185461744E-2</c:v>
                </c:pt>
                <c:pt idx="487">
                  <c:v>6.6841325466119275E-2</c:v>
                </c:pt>
                <c:pt idx="488">
                  <c:v>0.12707732009147391</c:v>
                </c:pt>
                <c:pt idx="489">
                  <c:v>0.24006446792825281</c:v>
                </c:pt>
                <c:pt idx="490">
                  <c:v>1.0125139960969263E-3</c:v>
                </c:pt>
                <c:pt idx="491">
                  <c:v>2.506989204098022</c:v>
                </c:pt>
                <c:pt idx="492">
                  <c:v>0.31110188117619131</c:v>
                </c:pt>
                <c:pt idx="493">
                  <c:v>3.6911909381143402</c:v>
                </c:pt>
                <c:pt idx="494">
                  <c:v>6.8674427860696524E-2</c:v>
                </c:pt>
                <c:pt idx="495">
                  <c:v>3.4902677980936892E-3</c:v>
                </c:pt>
                <c:pt idx="496">
                  <c:v>0.31528693760509902</c:v>
                </c:pt>
                <c:pt idx="497">
                  <c:v>6.2472388505788734E-3</c:v>
                </c:pt>
                <c:pt idx="498">
                  <c:v>0.65424891831526011</c:v>
                </c:pt>
                <c:pt idx="499">
                  <c:v>1.1160984008426726</c:v>
                </c:pt>
                <c:pt idx="500">
                  <c:v>1.283116658140111</c:v>
                </c:pt>
                <c:pt idx="501">
                  <c:v>0.66486140071863764</c:v>
                </c:pt>
                <c:pt idx="502">
                  <c:v>4.0621921643371394E-3</c:v>
                </c:pt>
                <c:pt idx="503">
                  <c:v>0.29747992987327637</c:v>
                </c:pt>
                <c:pt idx="504">
                  <c:v>1.662431097996435</c:v>
                </c:pt>
                <c:pt idx="505">
                  <c:v>0.20624891208921095</c:v>
                </c:pt>
                <c:pt idx="506">
                  <c:v>0.17556277763485362</c:v>
                </c:pt>
                <c:pt idx="507">
                  <c:v>0.84419975871693098</c:v>
                </c:pt>
                <c:pt idx="508">
                  <c:v>0.10305657358967119</c:v>
                </c:pt>
                <c:pt idx="509">
                  <c:v>5.947755226160014E-2</c:v>
                </c:pt>
                <c:pt idx="510">
                  <c:v>1.6065406390262587</c:v>
                </c:pt>
                <c:pt idx="511">
                  <c:v>0.37765839653314542</c:v>
                </c:pt>
                <c:pt idx="512">
                  <c:v>0.99854337175378249</c:v>
                </c:pt>
                <c:pt idx="513">
                  <c:v>0.33878904024305806</c:v>
                </c:pt>
                <c:pt idx="514">
                  <c:v>0.45342492036596277</c:v>
                </c:pt>
                <c:pt idx="515">
                  <c:v>0.39604251711526745</c:v>
                </c:pt>
                <c:pt idx="516">
                  <c:v>0.61050008948760148</c:v>
                </c:pt>
                <c:pt idx="517">
                  <c:v>0.36807368346930591</c:v>
                </c:pt>
                <c:pt idx="518">
                  <c:v>3.4886154848012647E-3</c:v>
                </c:pt>
                <c:pt idx="519">
                  <c:v>0.44358252810395132</c:v>
                </c:pt>
                <c:pt idx="520">
                  <c:v>0.10612739117311827</c:v>
                </c:pt>
                <c:pt idx="521">
                  <c:v>0.93484835561030033</c:v>
                </c:pt>
                <c:pt idx="522">
                  <c:v>0.16511634151060237</c:v>
                </c:pt>
                <c:pt idx="523">
                  <c:v>0.37473073073170365</c:v>
                </c:pt>
                <c:pt idx="524">
                  <c:v>0.36662245305431818</c:v>
                </c:pt>
                <c:pt idx="525">
                  <c:v>7.8837043337989673E-2</c:v>
                </c:pt>
                <c:pt idx="526">
                  <c:v>0.32521817980478029</c:v>
                </c:pt>
                <c:pt idx="527">
                  <c:v>1.2066590078972579</c:v>
                </c:pt>
                <c:pt idx="528">
                  <c:v>2.0249199194685334</c:v>
                </c:pt>
                <c:pt idx="529">
                  <c:v>1.266276622558286</c:v>
                </c:pt>
                <c:pt idx="530">
                  <c:v>2.4285189844643109</c:v>
                </c:pt>
                <c:pt idx="531">
                  <c:v>1.1425237407403721E-5</c:v>
                </c:pt>
                <c:pt idx="532">
                  <c:v>8.7729493145960349E-4</c:v>
                </c:pt>
                <c:pt idx="533">
                  <c:v>0.1727927837136535</c:v>
                </c:pt>
                <c:pt idx="534">
                  <c:v>6.292610837438424E-2</c:v>
                </c:pt>
                <c:pt idx="535">
                  <c:v>4.7721735201430422E-2</c:v>
                </c:pt>
                <c:pt idx="536">
                  <c:v>1.2620426956741156E-3</c:v>
                </c:pt>
                <c:pt idx="537">
                  <c:v>0.25966424020810569</c:v>
                </c:pt>
                <c:pt idx="538">
                  <c:v>0.61488207881262658</c:v>
                </c:pt>
                <c:pt idx="539">
                  <c:v>8.2236373665644802</c:v>
                </c:pt>
                <c:pt idx="540">
                  <c:v>0.4721676824400694</c:v>
                </c:pt>
                <c:pt idx="541">
                  <c:v>0.12705527776197442</c:v>
                </c:pt>
                <c:pt idx="542">
                  <c:v>0.24342605715814244</c:v>
                </c:pt>
                <c:pt idx="543">
                  <c:v>2.2028527288301518</c:v>
                </c:pt>
                <c:pt idx="544">
                  <c:v>9.8064302844208997E-3</c:v>
                </c:pt>
                <c:pt idx="545">
                  <c:v>3.0026221134088777E-3</c:v>
                </c:pt>
                <c:pt idx="546">
                  <c:v>3.4754499999999537</c:v>
                </c:pt>
                <c:pt idx="547">
                  <c:v>1.1318063665828465E-2</c:v>
                </c:pt>
                <c:pt idx="548">
                  <c:v>5.3290803413178756</c:v>
                </c:pt>
                <c:pt idx="549">
                  <c:v>0.28059932553241534</c:v>
                </c:pt>
                <c:pt idx="550">
                  <c:v>1.0354784494559111E-2</c:v>
                </c:pt>
                <c:pt idx="551">
                  <c:v>0.2238337450383627</c:v>
                </c:pt>
                <c:pt idx="552">
                  <c:v>0.1035777374660377</c:v>
                </c:pt>
                <c:pt idx="553">
                  <c:v>5.3480820249239933E-2</c:v>
                </c:pt>
                <c:pt idx="554">
                  <c:v>8.3118662417624861E-2</c:v>
                </c:pt>
                <c:pt idx="555">
                  <c:v>1.2842251752505442</c:v>
                </c:pt>
                <c:pt idx="556">
                  <c:v>6.1243610043357988E-2</c:v>
                </c:pt>
                <c:pt idx="557">
                  <c:v>0.34032991812495528</c:v>
                </c:pt>
                <c:pt idx="558">
                  <c:v>1.0391225867002763E-2</c:v>
                </c:pt>
                <c:pt idx="559">
                  <c:v>0.59042883306364069</c:v>
                </c:pt>
                <c:pt idx="560">
                  <c:v>0.30869622117862544</c:v>
                </c:pt>
                <c:pt idx="561">
                  <c:v>8.5540514366124008E-3</c:v>
                </c:pt>
                <c:pt idx="562">
                  <c:v>5.3213500995589085</c:v>
                </c:pt>
                <c:pt idx="563">
                  <c:v>2.7740337930384092E-3</c:v>
                </c:pt>
                <c:pt idx="564">
                  <c:v>0.4203822810655915</c:v>
                </c:pt>
                <c:pt idx="565">
                  <c:v>1.024754981270054</c:v>
                </c:pt>
                <c:pt idx="566">
                  <c:v>3.9821057200577752E-3</c:v>
                </c:pt>
                <c:pt idx="567">
                  <c:v>1.1763973985286045</c:v>
                </c:pt>
                <c:pt idx="568">
                  <c:v>0.16386642333022824</c:v>
                </c:pt>
                <c:pt idx="569">
                  <c:v>2.8295932543245052E-2</c:v>
                </c:pt>
                <c:pt idx="570">
                  <c:v>1.0425995430074306</c:v>
                </c:pt>
                <c:pt idx="571">
                  <c:v>0.39597432775048785</c:v>
                </c:pt>
                <c:pt idx="572">
                  <c:v>6.9260772984707933E-3</c:v>
                </c:pt>
                <c:pt idx="573">
                  <c:v>2.9505260565608449</c:v>
                </c:pt>
                <c:pt idx="574">
                  <c:v>0.56413144799724857</c:v>
                </c:pt>
                <c:pt idx="575">
                  <c:v>0.11758429018323036</c:v>
                </c:pt>
                <c:pt idx="576">
                  <c:v>9.320371867861478E-2</c:v>
                </c:pt>
                <c:pt idx="577">
                  <c:v>0.45721054186229082</c:v>
                </c:pt>
                <c:pt idx="578">
                  <c:v>1.3810514384635921</c:v>
                </c:pt>
                <c:pt idx="579">
                  <c:v>2.8246090124145162</c:v>
                </c:pt>
                <c:pt idx="580">
                  <c:v>0.4909731633976791</c:v>
                </c:pt>
                <c:pt idx="581">
                  <c:v>7.4757675311613744E-2</c:v>
                </c:pt>
                <c:pt idx="582">
                  <c:v>0.157913861260741</c:v>
                </c:pt>
                <c:pt idx="583">
                  <c:v>0.59584610210771649</c:v>
                </c:pt>
                <c:pt idx="584">
                  <c:v>0.1412522057635244</c:v>
                </c:pt>
                <c:pt idx="585">
                  <c:v>10.521934148568421</c:v>
                </c:pt>
                <c:pt idx="586">
                  <c:v>0.3631935746427748</c:v>
                </c:pt>
                <c:pt idx="587">
                  <c:v>0.99800905887927172</c:v>
                </c:pt>
                <c:pt idx="588">
                  <c:v>0.12820589773614041</c:v>
                </c:pt>
                <c:pt idx="589">
                  <c:v>3.9228739779805107E-4</c:v>
                </c:pt>
                <c:pt idx="590">
                  <c:v>8.7821258863254148E-2</c:v>
                </c:pt>
                <c:pt idx="591">
                  <c:v>0.40717145672803379</c:v>
                </c:pt>
                <c:pt idx="592">
                  <c:v>1.525293705740962E-3</c:v>
                </c:pt>
                <c:pt idx="593">
                  <c:v>0.21889094958502769</c:v>
                </c:pt>
                <c:pt idx="594">
                  <c:v>0.34272247344070372</c:v>
                </c:pt>
                <c:pt idx="595">
                  <c:v>0.33055824940769968</c:v>
                </c:pt>
                <c:pt idx="596">
                  <c:v>0.33261654153704823</c:v>
                </c:pt>
                <c:pt idx="597">
                  <c:v>2.0578821029916351E-2</c:v>
                </c:pt>
                <c:pt idx="598">
                  <c:v>5.6066172649463702E-2</c:v>
                </c:pt>
                <c:pt idx="599">
                  <c:v>3.2466048391734344E-2</c:v>
                </c:pt>
                <c:pt idx="600">
                  <c:v>4.5104542655822269E-2</c:v>
                </c:pt>
                <c:pt idx="601">
                  <c:v>0.24025350644977569</c:v>
                </c:pt>
                <c:pt idx="602">
                  <c:v>0.20546501896402874</c:v>
                </c:pt>
                <c:pt idx="603">
                  <c:v>9.2362366651998291E-4</c:v>
                </c:pt>
                <c:pt idx="604">
                  <c:v>1.1284671509581501</c:v>
                </c:pt>
                <c:pt idx="605">
                  <c:v>0.221783002726122</c:v>
                </c:pt>
                <c:pt idx="606">
                  <c:v>0.86015540619064279</c:v>
                </c:pt>
                <c:pt idx="607">
                  <c:v>0.7288668148332127</c:v>
                </c:pt>
                <c:pt idx="608">
                  <c:v>0.17508164800886547</c:v>
                </c:pt>
                <c:pt idx="609">
                  <c:v>0.27487199583516814</c:v>
                </c:pt>
                <c:pt idx="610">
                  <c:v>1.1205592800540878</c:v>
                </c:pt>
                <c:pt idx="611">
                  <c:v>6.8990574820819134E-2</c:v>
                </c:pt>
                <c:pt idx="612">
                  <c:v>0.1560476270105027</c:v>
                </c:pt>
                <c:pt idx="613">
                  <c:v>0.73550821433162161</c:v>
                </c:pt>
                <c:pt idx="614">
                  <c:v>5.4145565814032022E-2</c:v>
                </c:pt>
                <c:pt idx="615">
                  <c:v>0.28285323113771538</c:v>
                </c:pt>
                <c:pt idx="616">
                  <c:v>1.040298253323273</c:v>
                </c:pt>
                <c:pt idx="617">
                  <c:v>0.32115114241586845</c:v>
                </c:pt>
                <c:pt idx="618">
                  <c:v>3.6168772359515586E-2</c:v>
                </c:pt>
                <c:pt idx="619">
                  <c:v>0.45396739951757581</c:v>
                </c:pt>
                <c:pt idx="620">
                  <c:v>0.23615802774605912</c:v>
                </c:pt>
                <c:pt idx="621">
                  <c:v>7.4644745099297319E-2</c:v>
                </c:pt>
                <c:pt idx="622">
                  <c:v>0.31479687406265705</c:v>
                </c:pt>
                <c:pt idx="623">
                  <c:v>3.3317190464010556E-2</c:v>
                </c:pt>
                <c:pt idx="624">
                  <c:v>0.15098321687428892</c:v>
                </c:pt>
                <c:pt idx="625">
                  <c:v>6.1957316730084651E-2</c:v>
                </c:pt>
                <c:pt idx="626">
                  <c:v>1.4473561436002384E-3</c:v>
                </c:pt>
                <c:pt idx="627">
                  <c:v>1.0765942759187427E-2</c:v>
                </c:pt>
                <c:pt idx="628">
                  <c:v>0.23738374581035723</c:v>
                </c:pt>
                <c:pt idx="629">
                  <c:v>0.39419279419224657</c:v>
                </c:pt>
                <c:pt idx="630">
                  <c:v>5.0628874579579639</c:v>
                </c:pt>
                <c:pt idx="631">
                  <c:v>5.7638335207869655</c:v>
                </c:pt>
                <c:pt idx="632">
                  <c:v>0.21964530606510738</c:v>
                </c:pt>
                <c:pt idx="633">
                  <c:v>10.238311569735975</c:v>
                </c:pt>
                <c:pt idx="634">
                  <c:v>1.236803836226662</c:v>
                </c:pt>
                <c:pt idx="635">
                  <c:v>0.62541728934189988</c:v>
                </c:pt>
                <c:pt idx="636">
                  <c:v>0.15928175916705894</c:v>
                </c:pt>
                <c:pt idx="637">
                  <c:v>0.27314791587285525</c:v>
                </c:pt>
                <c:pt idx="638">
                  <c:v>1.0187227057794858E-2</c:v>
                </c:pt>
                <c:pt idx="639">
                  <c:v>0.24750685104610581</c:v>
                </c:pt>
                <c:pt idx="640">
                  <c:v>2.1678877202190292</c:v>
                </c:pt>
                <c:pt idx="641">
                  <c:v>1.589050062175402</c:v>
                </c:pt>
                <c:pt idx="642">
                  <c:v>3.2165893881501191</c:v>
                </c:pt>
                <c:pt idx="643">
                  <c:v>1.0987712842443838</c:v>
                </c:pt>
                <c:pt idx="644">
                  <c:v>0.8389852781110958</c:v>
                </c:pt>
                <c:pt idx="645">
                  <c:v>9.4262960919644177E-3</c:v>
                </c:pt>
                <c:pt idx="646">
                  <c:v>1.6749679889717266</c:v>
                </c:pt>
                <c:pt idx="647">
                  <c:v>3.6031688905050277E-3</c:v>
                </c:pt>
                <c:pt idx="648">
                  <c:v>0.17306046402089281</c:v>
                </c:pt>
                <c:pt idx="649">
                  <c:v>0.27105054020233355</c:v>
                </c:pt>
                <c:pt idx="650">
                  <c:v>0.15041945077424931</c:v>
                </c:pt>
                <c:pt idx="651">
                  <c:v>0.71592951252632131</c:v>
                </c:pt>
                <c:pt idx="652">
                  <c:v>3.2800999857334299</c:v>
                </c:pt>
                <c:pt idx="653">
                  <c:v>0.44586354800882572</c:v>
                </c:pt>
                <c:pt idx="654">
                  <c:v>0.75042493420478018</c:v>
                </c:pt>
                <c:pt idx="655">
                  <c:v>1.1687607507329403E-5</c:v>
                </c:pt>
                <c:pt idx="656">
                  <c:v>3.7173880309843084E-6</c:v>
                </c:pt>
                <c:pt idx="657">
                  <c:v>0.78072392702782811</c:v>
                </c:pt>
                <c:pt idx="658">
                  <c:v>0.30746058295827766</c:v>
                </c:pt>
                <c:pt idx="659">
                  <c:v>0.67931141403413076</c:v>
                </c:pt>
                <c:pt idx="660">
                  <c:v>6.0331806827951828</c:v>
                </c:pt>
                <c:pt idx="661">
                  <c:v>0.13721054569233673</c:v>
                </c:pt>
                <c:pt idx="662">
                  <c:v>4.2037364766775762E-2</c:v>
                </c:pt>
                <c:pt idx="663">
                  <c:v>0.13099580822806631</c:v>
                </c:pt>
                <c:pt idx="664">
                  <c:v>0.11982455296502582</c:v>
                </c:pt>
                <c:pt idx="665">
                  <c:v>3.6248043860918209</c:v>
                </c:pt>
                <c:pt idx="666">
                  <c:v>0.83486733883193898</c:v>
                </c:pt>
                <c:pt idx="667">
                  <c:v>0.18146922866237236</c:v>
                </c:pt>
                <c:pt idx="668">
                  <c:v>1.3567729549170218</c:v>
                </c:pt>
                <c:pt idx="669">
                  <c:v>0.10801884325269542</c:v>
                </c:pt>
                <c:pt idx="670">
                  <c:v>2.6466983144626708</c:v>
                </c:pt>
                <c:pt idx="671">
                  <c:v>8.3933120873651268E-5</c:v>
                </c:pt>
                <c:pt idx="672">
                  <c:v>0.44959195886053616</c:v>
                </c:pt>
                <c:pt idx="673">
                  <c:v>1.7371707910127838</c:v>
                </c:pt>
                <c:pt idx="674">
                  <c:v>0.34869381014683315</c:v>
                </c:pt>
                <c:pt idx="675">
                  <c:v>3.6475092556811832</c:v>
                </c:pt>
                <c:pt idx="676">
                  <c:v>1.2759495996313206</c:v>
                </c:pt>
                <c:pt idx="677">
                  <c:v>0.82358100389003752</c:v>
                </c:pt>
                <c:pt idx="678">
                  <c:v>2.3775090636987843E-2</c:v>
                </c:pt>
                <c:pt idx="679">
                  <c:v>8.0231313266280704E-2</c:v>
                </c:pt>
                <c:pt idx="680">
                  <c:v>0.10401625472008465</c:v>
                </c:pt>
                <c:pt idx="681">
                  <c:v>2.1116492287600379</c:v>
                </c:pt>
                <c:pt idx="682">
                  <c:v>0.69973812053286533</c:v>
                </c:pt>
                <c:pt idx="683">
                  <c:v>0.29698033712922289</c:v>
                </c:pt>
                <c:pt idx="684">
                  <c:v>0.5588212186915843</c:v>
                </c:pt>
                <c:pt idx="685">
                  <c:v>0.97404348073584512</c:v>
                </c:pt>
                <c:pt idx="686">
                  <c:v>8.1852101416709484</c:v>
                </c:pt>
                <c:pt idx="687">
                  <c:v>0.40527336746617276</c:v>
                </c:pt>
                <c:pt idx="688">
                  <c:v>0.1938232509904782</c:v>
                </c:pt>
                <c:pt idx="689">
                  <c:v>6.3004429322979123E-3</c:v>
                </c:pt>
                <c:pt idx="690">
                  <c:v>2.4109848484848997E-4</c:v>
                </c:pt>
                <c:pt idx="691">
                  <c:v>0.27768664568347012</c:v>
                </c:pt>
                <c:pt idx="692">
                  <c:v>0.16212002668814224</c:v>
                </c:pt>
                <c:pt idx="693">
                  <c:v>0.602788513101847</c:v>
                </c:pt>
                <c:pt idx="694">
                  <c:v>0.16697159130841616</c:v>
                </c:pt>
                <c:pt idx="695">
                  <c:v>7.1033840278716145</c:v>
                </c:pt>
                <c:pt idx="696">
                  <c:v>0.17093081078862959</c:v>
                </c:pt>
                <c:pt idx="697">
                  <c:v>0.55156968593320899</c:v>
                </c:pt>
                <c:pt idx="698">
                  <c:v>1.32424665653693</c:v>
                </c:pt>
                <c:pt idx="699">
                  <c:v>1.5899617969098252E-3</c:v>
                </c:pt>
                <c:pt idx="700">
                  <c:v>1.4663117480951458</c:v>
                </c:pt>
                <c:pt idx="701">
                  <c:v>1.4651544837882757</c:v>
                </c:pt>
                <c:pt idx="702">
                  <c:v>0.37181358774988527</c:v>
                </c:pt>
                <c:pt idx="703">
                  <c:v>3.8868563514613215E-2</c:v>
                </c:pt>
                <c:pt idx="704">
                  <c:v>9.994428952955553E-2</c:v>
                </c:pt>
                <c:pt idx="705">
                  <c:v>4.9339709365824114E-5</c:v>
                </c:pt>
                <c:pt idx="706">
                  <c:v>2.3466157603954172</c:v>
                </c:pt>
                <c:pt idx="707">
                  <c:v>0.20633314451312801</c:v>
                </c:pt>
                <c:pt idx="708">
                  <c:v>0.37485717416464903</c:v>
                </c:pt>
                <c:pt idx="709">
                  <c:v>2.9350074988676043</c:v>
                </c:pt>
                <c:pt idx="710">
                  <c:v>0.3110578193499749</c:v>
                </c:pt>
                <c:pt idx="711">
                  <c:v>2.2079629818742816E-5</c:v>
                </c:pt>
                <c:pt idx="712">
                  <c:v>2.0209121733568587</c:v>
                </c:pt>
                <c:pt idx="713">
                  <c:v>9.6085993224603025E-2</c:v>
                </c:pt>
                <c:pt idx="714">
                  <c:v>0.15784878146534106</c:v>
                </c:pt>
                <c:pt idx="715">
                  <c:v>9.0399931030436587E-2</c:v>
                </c:pt>
                <c:pt idx="716">
                  <c:v>2.3922553813255178E-2</c:v>
                </c:pt>
                <c:pt idx="717">
                  <c:v>0.10893594813831672</c:v>
                </c:pt>
                <c:pt idx="718">
                  <c:v>4.1267593391277184E-7</c:v>
                </c:pt>
                <c:pt idx="719">
                  <c:v>2.2910798122065812E-2</c:v>
                </c:pt>
                <c:pt idx="720">
                  <c:v>7.3147538585326913E-5</c:v>
                </c:pt>
                <c:pt idx="721">
                  <c:v>3.9995023947253846E-3</c:v>
                </c:pt>
                <c:pt idx="722">
                  <c:v>0.34901570187426922</c:v>
                </c:pt>
                <c:pt idx="723">
                  <c:v>1.5065659180452944</c:v>
                </c:pt>
                <c:pt idx="724">
                  <c:v>2.2038043478261497E-2</c:v>
                </c:pt>
                <c:pt idx="725">
                  <c:v>6.821249290091997E-3</c:v>
                </c:pt>
                <c:pt idx="726">
                  <c:v>2.8481366177254412</c:v>
                </c:pt>
                <c:pt idx="727">
                  <c:v>0.10764906646554326</c:v>
                </c:pt>
                <c:pt idx="728">
                  <c:v>2.3938092212790987</c:v>
                </c:pt>
                <c:pt idx="729">
                  <c:v>2.1029775905056511</c:v>
                </c:pt>
                <c:pt idx="730">
                  <c:v>0.1582812346749283</c:v>
                </c:pt>
                <c:pt idx="731">
                  <c:v>0.23032707777415018</c:v>
                </c:pt>
                <c:pt idx="732">
                  <c:v>5.5638161744419206</c:v>
                </c:pt>
                <c:pt idx="733">
                  <c:v>0.12766346140988685</c:v>
                </c:pt>
                <c:pt idx="734">
                  <c:v>1.9077197485870756</c:v>
                </c:pt>
                <c:pt idx="735">
                  <c:v>5.8414569512517313E-2</c:v>
                </c:pt>
                <c:pt idx="736">
                  <c:v>0.17355771904818537</c:v>
                </c:pt>
                <c:pt idx="737">
                  <c:v>2.8755477486813619</c:v>
                </c:pt>
                <c:pt idx="738">
                  <c:v>0.13332080872698518</c:v>
                </c:pt>
                <c:pt idx="739">
                  <c:v>0.30687771006779402</c:v>
                </c:pt>
                <c:pt idx="740">
                  <c:v>0.86021618658970322</c:v>
                </c:pt>
                <c:pt idx="741">
                  <c:v>0.18523130518773931</c:v>
                </c:pt>
                <c:pt idx="742">
                  <c:v>1.3497190637565484</c:v>
                </c:pt>
                <c:pt idx="743">
                  <c:v>0.24220132430649777</c:v>
                </c:pt>
                <c:pt idx="744">
                  <c:v>1.3557464506032695</c:v>
                </c:pt>
                <c:pt idx="745">
                  <c:v>0.30142664753063564</c:v>
                </c:pt>
                <c:pt idx="746">
                  <c:v>2.0760958718702867</c:v>
                </c:pt>
                <c:pt idx="747">
                  <c:v>1.029634535631006E-2</c:v>
                </c:pt>
                <c:pt idx="748">
                  <c:v>2.3832175551631982</c:v>
                </c:pt>
                <c:pt idx="749">
                  <c:v>0.35308838355749667</c:v>
                </c:pt>
                <c:pt idx="750">
                  <c:v>7.2124020209836945E-4</c:v>
                </c:pt>
                <c:pt idx="751">
                  <c:v>2.1458768875777752</c:v>
                </c:pt>
                <c:pt idx="752">
                  <c:v>0.13395002439024389</c:v>
                </c:pt>
                <c:pt idx="753">
                  <c:v>2.0038517605753459</c:v>
                </c:pt>
                <c:pt idx="754">
                  <c:v>4.1839662300285616E-2</c:v>
                </c:pt>
                <c:pt idx="755">
                  <c:v>0.37318276390714983</c:v>
                </c:pt>
                <c:pt idx="756">
                  <c:v>0.25861582432634417</c:v>
                </c:pt>
                <c:pt idx="757">
                  <c:v>1.4822717824367621E-3</c:v>
                </c:pt>
                <c:pt idx="758">
                  <c:v>0.1972364178902298</c:v>
                </c:pt>
                <c:pt idx="759">
                  <c:v>9.8881330560427892E-4</c:v>
                </c:pt>
                <c:pt idx="760">
                  <c:v>5.5506263478118892E-2</c:v>
                </c:pt>
                <c:pt idx="761">
                  <c:v>7.7203982659540553E-6</c:v>
                </c:pt>
                <c:pt idx="762">
                  <c:v>6.2205520653163732E-2</c:v>
                </c:pt>
                <c:pt idx="763">
                  <c:v>7.5754858411391183E-3</c:v>
                </c:pt>
                <c:pt idx="764">
                  <c:v>0.62290436183668996</c:v>
                </c:pt>
                <c:pt idx="765">
                  <c:v>1.0530264147644688</c:v>
                </c:pt>
                <c:pt idx="766">
                  <c:v>1.1012011792343001E-3</c:v>
                </c:pt>
                <c:pt idx="767">
                  <c:v>7.5261282692089815E-3</c:v>
                </c:pt>
                <c:pt idx="768">
                  <c:v>0.19498463154028417</c:v>
                </c:pt>
                <c:pt idx="769">
                  <c:v>0.22539901380670621</c:v>
                </c:pt>
                <c:pt idx="770">
                  <c:v>0.24797566648690028</c:v>
                </c:pt>
                <c:pt idx="771">
                  <c:v>0.40834160918179635</c:v>
                </c:pt>
                <c:pt idx="772">
                  <c:v>6.2538335602234764E-3</c:v>
                </c:pt>
                <c:pt idx="773">
                  <c:v>5.4833864167185734E-2</c:v>
                </c:pt>
                <c:pt idx="774">
                  <c:v>0.19028266696911267</c:v>
                </c:pt>
                <c:pt idx="775">
                  <c:v>1.2613239621759158</c:v>
                </c:pt>
                <c:pt idx="776">
                  <c:v>0.43205889292590188</c:v>
                </c:pt>
                <c:pt idx="777">
                  <c:v>2.9639388313927716E-3</c:v>
                </c:pt>
                <c:pt idx="778">
                  <c:v>0.19546809391906494</c:v>
                </c:pt>
                <c:pt idx="779">
                  <c:v>0.37827570110466308</c:v>
                </c:pt>
                <c:pt idx="780">
                  <c:v>0.91439834211906124</c:v>
                </c:pt>
                <c:pt idx="781">
                  <c:v>0.1941740452964173</c:v>
                </c:pt>
                <c:pt idx="782">
                  <c:v>0.41615020286728088</c:v>
                </c:pt>
                <c:pt idx="783">
                  <c:v>8.4121909446599766E-2</c:v>
                </c:pt>
                <c:pt idx="784">
                  <c:v>1.9407111111111364E-2</c:v>
                </c:pt>
                <c:pt idx="785">
                  <c:v>0.13658034828410714</c:v>
                </c:pt>
                <c:pt idx="786">
                  <c:v>0.10539318055232449</c:v>
                </c:pt>
                <c:pt idx="787">
                  <c:v>3.6263847615069331E-2</c:v>
                </c:pt>
                <c:pt idx="788">
                  <c:v>5.0766217984826651</c:v>
                </c:pt>
                <c:pt idx="789">
                  <c:v>0.47785232111217252</c:v>
                </c:pt>
                <c:pt idx="790">
                  <c:v>8.817971296753499E-2</c:v>
                </c:pt>
                <c:pt idx="791">
                  <c:v>0.15258068238125624</c:v>
                </c:pt>
                <c:pt idx="792">
                  <c:v>0.37741813398087426</c:v>
                </c:pt>
                <c:pt idx="793">
                  <c:v>0.16170719884194137</c:v>
                </c:pt>
                <c:pt idx="794">
                  <c:v>1.359059340064359E-6</c:v>
                </c:pt>
                <c:pt idx="795">
                  <c:v>0.11422700496411155</c:v>
                </c:pt>
                <c:pt idx="796">
                  <c:v>1.5076012441843018E-3</c:v>
                </c:pt>
                <c:pt idx="797">
                  <c:v>2.4230205114285268E-3</c:v>
                </c:pt>
                <c:pt idx="798">
                  <c:v>0.34483868055473638</c:v>
                </c:pt>
                <c:pt idx="799">
                  <c:v>0.75795926055390883</c:v>
                </c:pt>
                <c:pt idx="800">
                  <c:v>0.30278931656363306</c:v>
                </c:pt>
                <c:pt idx="801">
                  <c:v>0.99427288222037569</c:v>
                </c:pt>
                <c:pt idx="802">
                  <c:v>0.41317048462063088</c:v>
                </c:pt>
                <c:pt idx="803">
                  <c:v>3.990025783533224E-4</c:v>
                </c:pt>
                <c:pt idx="804">
                  <c:v>11.738923386907157</c:v>
                </c:pt>
                <c:pt idx="805">
                  <c:v>0.83075624727360065</c:v>
                </c:pt>
                <c:pt idx="806">
                  <c:v>0.55034065986033742</c:v>
                </c:pt>
                <c:pt idx="807">
                  <c:v>6.1334060600720004E-2</c:v>
                </c:pt>
                <c:pt idx="808">
                  <c:v>9.6566975067830171E-2</c:v>
                </c:pt>
                <c:pt idx="809">
                  <c:v>0.64469898625053279</c:v>
                </c:pt>
                <c:pt idx="810">
                  <c:v>0.54312576592757655</c:v>
                </c:pt>
                <c:pt idx="811">
                  <c:v>3.9214078749354252E-2</c:v>
                </c:pt>
                <c:pt idx="812">
                  <c:v>6.5614440263691458</c:v>
                </c:pt>
                <c:pt idx="813">
                  <c:v>0.34101211026438488</c:v>
                </c:pt>
                <c:pt idx="814">
                  <c:v>0.70004439168429744</c:v>
                </c:pt>
                <c:pt idx="815">
                  <c:v>0.46520601679530466</c:v>
                </c:pt>
                <c:pt idx="816">
                  <c:v>3.8771965053594842E-2</c:v>
                </c:pt>
                <c:pt idx="817">
                  <c:v>0.29159799377250112</c:v>
                </c:pt>
                <c:pt idx="818">
                  <c:v>0.212672395688667</c:v>
                </c:pt>
                <c:pt idx="819">
                  <c:v>0.32223995806530953</c:v>
                </c:pt>
                <c:pt idx="820">
                  <c:v>0.11556772273017279</c:v>
                </c:pt>
                <c:pt idx="821">
                  <c:v>3.0993615676118171E-3</c:v>
                </c:pt>
                <c:pt idx="822">
                  <c:v>2.5366233395148318E-5</c:v>
                </c:pt>
                <c:pt idx="823">
                  <c:v>4.7999201272567092E-2</c:v>
                </c:pt>
                <c:pt idx="824">
                  <c:v>7.8115386178488094E-2</c:v>
                </c:pt>
                <c:pt idx="825">
                  <c:v>4.8144471413655304E-4</c:v>
                </c:pt>
                <c:pt idx="826">
                  <c:v>4.4649446494464656E-3</c:v>
                </c:pt>
                <c:pt idx="827">
                  <c:v>0.32498632043148168</c:v>
                </c:pt>
                <c:pt idx="828">
                  <c:v>0.29389038981089055</c:v>
                </c:pt>
                <c:pt idx="829">
                  <c:v>4.6723602023987579E-2</c:v>
                </c:pt>
                <c:pt idx="830">
                  <c:v>8.5179290923649547E-3</c:v>
                </c:pt>
                <c:pt idx="831">
                  <c:v>3.2439099606758255E-3</c:v>
                </c:pt>
                <c:pt idx="832">
                  <c:v>0.48487643949372738</c:v>
                </c:pt>
                <c:pt idx="833">
                  <c:v>6.2772045411396578</c:v>
                </c:pt>
                <c:pt idx="834">
                  <c:v>6.5257760715442453E-6</c:v>
                </c:pt>
                <c:pt idx="835">
                  <c:v>0.29727171878065634</c:v>
                </c:pt>
                <c:pt idx="836">
                  <c:v>0.41555405263080031</c:v>
                </c:pt>
                <c:pt idx="837">
                  <c:v>2.4141794850224501</c:v>
                </c:pt>
                <c:pt idx="838">
                  <c:v>2.5597344513681066</c:v>
                </c:pt>
                <c:pt idx="839">
                  <c:v>3.5970162346766316E-5</c:v>
                </c:pt>
                <c:pt idx="840">
                  <c:v>9.5922240750645088E-7</c:v>
                </c:pt>
                <c:pt idx="841">
                  <c:v>0.11399679314739454</c:v>
                </c:pt>
                <c:pt idx="842">
                  <c:v>0.27158820577945358</c:v>
                </c:pt>
                <c:pt idx="843">
                  <c:v>0.13474296858161391</c:v>
                </c:pt>
                <c:pt idx="844">
                  <c:v>1.5217398296281219</c:v>
                </c:pt>
                <c:pt idx="845">
                  <c:v>0.46020424743993893</c:v>
                </c:pt>
                <c:pt idx="846">
                  <c:v>0.51254502052156581</c:v>
                </c:pt>
                <c:pt idx="847">
                  <c:v>0.33578188550356652</c:v>
                </c:pt>
                <c:pt idx="848">
                  <c:v>4.9320841783874296E-2</c:v>
                </c:pt>
                <c:pt idx="849">
                  <c:v>2.3641661479398135E-5</c:v>
                </c:pt>
                <c:pt idx="850">
                  <c:v>7.2965171056597999E-2</c:v>
                </c:pt>
                <c:pt idx="851">
                  <c:v>0.84091417744378083</c:v>
                </c:pt>
                <c:pt idx="852">
                  <c:v>5.1073530504466044E-2</c:v>
                </c:pt>
                <c:pt idx="853">
                  <c:v>0.74303226573164627</c:v>
                </c:pt>
                <c:pt idx="854">
                  <c:v>5.0556752509755745</c:v>
                </c:pt>
                <c:pt idx="855">
                  <c:v>0.12665863190991217</c:v>
                </c:pt>
                <c:pt idx="856">
                  <c:v>0.25769255310363826</c:v>
                </c:pt>
                <c:pt idx="857">
                  <c:v>2.3570361549102268</c:v>
                </c:pt>
                <c:pt idx="858">
                  <c:v>0.24933774755120597</c:v>
                </c:pt>
                <c:pt idx="859">
                  <c:v>0.23167202093486783</c:v>
                </c:pt>
                <c:pt idx="860">
                  <c:v>0.21039313782455921</c:v>
                </c:pt>
                <c:pt idx="861">
                  <c:v>3.0715063578639392</c:v>
                </c:pt>
                <c:pt idx="862">
                  <c:v>3.2454180783960312E-4</c:v>
                </c:pt>
                <c:pt idx="863">
                  <c:v>1.4327440126073563</c:v>
                </c:pt>
                <c:pt idx="864">
                  <c:v>0.40444393931627232</c:v>
                </c:pt>
                <c:pt idx="865">
                  <c:v>1.991241408427632</c:v>
                </c:pt>
                <c:pt idx="866">
                  <c:v>0.29294533360428937</c:v>
                </c:pt>
                <c:pt idx="867">
                  <c:v>3.1804093109890401E-2</c:v>
                </c:pt>
                <c:pt idx="868">
                  <c:v>0.23813974329025003</c:v>
                </c:pt>
                <c:pt idx="869">
                  <c:v>0.14724079649335317</c:v>
                </c:pt>
                <c:pt idx="870">
                  <c:v>1.6338298119072982E-2</c:v>
                </c:pt>
                <c:pt idx="871">
                  <c:v>4.9306723678897824E-2</c:v>
                </c:pt>
                <c:pt idx="872">
                  <c:v>6.2603506157332719E-5</c:v>
                </c:pt>
                <c:pt idx="873">
                  <c:v>7.9524781126131275E-2</c:v>
                </c:pt>
                <c:pt idx="874">
                  <c:v>0.1832220836796897</c:v>
                </c:pt>
                <c:pt idx="875">
                  <c:v>9.9490502868175054E-2</c:v>
                </c:pt>
                <c:pt idx="876">
                  <c:v>0.56547638367721798</c:v>
                </c:pt>
                <c:pt idx="877">
                  <c:v>0.36055675098398682</c:v>
                </c:pt>
                <c:pt idx="878">
                  <c:v>0.75562991142089586</c:v>
                </c:pt>
                <c:pt idx="879">
                  <c:v>0.51870734165723287</c:v>
                </c:pt>
                <c:pt idx="880">
                  <c:v>2.2479771428572057</c:v>
                </c:pt>
                <c:pt idx="881">
                  <c:v>0.20808077559434721</c:v>
                </c:pt>
                <c:pt idx="882">
                  <c:v>0.38902189534196385</c:v>
                </c:pt>
                <c:pt idx="883">
                  <c:v>0.52225900000000003</c:v>
                </c:pt>
                <c:pt idx="884">
                  <c:v>7.5951015216485174E-2</c:v>
                </c:pt>
                <c:pt idx="885">
                  <c:v>0.24408333333333568</c:v>
                </c:pt>
                <c:pt idx="886">
                  <c:v>0.66707552191794228</c:v>
                </c:pt>
                <c:pt idx="887">
                  <c:v>0.35360895368315431</c:v>
                </c:pt>
                <c:pt idx="888">
                  <c:v>0.73625914527259662</c:v>
                </c:pt>
                <c:pt idx="889">
                  <c:v>0.59848323928599756</c:v>
                </c:pt>
                <c:pt idx="890">
                  <c:v>6.8690837539581624</c:v>
                </c:pt>
                <c:pt idx="891">
                  <c:v>2.6068146629835312</c:v>
                </c:pt>
                <c:pt idx="892">
                  <c:v>1.8392183036906564E-5</c:v>
                </c:pt>
                <c:pt idx="893">
                  <c:v>2.3999042493617311</c:v>
                </c:pt>
                <c:pt idx="894">
                  <c:v>6.1282844035509033E-5</c:v>
                </c:pt>
                <c:pt idx="895">
                  <c:v>9.3406555915665768E-3</c:v>
                </c:pt>
                <c:pt idx="896">
                  <c:v>1.2465130172364036</c:v>
                </c:pt>
                <c:pt idx="897">
                  <c:v>9.291829127422459E-4</c:v>
                </c:pt>
                <c:pt idx="898">
                  <c:v>0.22360204028291172</c:v>
                </c:pt>
                <c:pt idx="899">
                  <c:v>0.56031881945936923</c:v>
                </c:pt>
                <c:pt idx="900">
                  <c:v>0.38591909296416593</c:v>
                </c:pt>
                <c:pt idx="901">
                  <c:v>5.0255601265077651E-2</c:v>
                </c:pt>
                <c:pt idx="902">
                  <c:v>6.0757263541266933E-2</c:v>
                </c:pt>
                <c:pt idx="903">
                  <c:v>0.1387531608330789</c:v>
                </c:pt>
                <c:pt idx="904">
                  <c:v>6.8710853936202104E-2</c:v>
                </c:pt>
                <c:pt idx="905">
                  <c:v>1.769351751614014E-3</c:v>
                </c:pt>
                <c:pt idx="906">
                  <c:v>5.1206583711244064E-2</c:v>
                </c:pt>
                <c:pt idx="907">
                  <c:v>1.6269551757300124E-6</c:v>
                </c:pt>
                <c:pt idx="908">
                  <c:v>0.98575684523321949</c:v>
                </c:pt>
                <c:pt idx="909">
                  <c:v>0.36992473472801735</c:v>
                </c:pt>
                <c:pt idx="910">
                  <c:v>0.72864172636971891</c:v>
                </c:pt>
                <c:pt idx="911">
                  <c:v>0.19320898494169444</c:v>
                </c:pt>
                <c:pt idx="912">
                  <c:v>0.41204081933179648</c:v>
                </c:pt>
                <c:pt idx="913">
                  <c:v>0.37907371648714938</c:v>
                </c:pt>
                <c:pt idx="914">
                  <c:v>0.69010299297407263</c:v>
                </c:pt>
                <c:pt idx="915">
                  <c:v>2.399207910107013</c:v>
                </c:pt>
                <c:pt idx="916">
                  <c:v>0.23639057720477483</c:v>
                </c:pt>
                <c:pt idx="917">
                  <c:v>4.0225149155211755</c:v>
                </c:pt>
                <c:pt idx="918">
                  <c:v>0.27092744110792388</c:v>
                </c:pt>
                <c:pt idx="919">
                  <c:v>0.88016082206964152</c:v>
                </c:pt>
                <c:pt idx="920">
                  <c:v>0.42277556670029187</c:v>
                </c:pt>
                <c:pt idx="921">
                  <c:v>0.22235972043159538</c:v>
                </c:pt>
                <c:pt idx="922">
                  <c:v>0.91490800498143143</c:v>
                </c:pt>
                <c:pt idx="923">
                  <c:v>1.2781344470924695E-5</c:v>
                </c:pt>
                <c:pt idx="924">
                  <c:v>11.966167535207576</c:v>
                </c:pt>
                <c:pt idx="925">
                  <c:v>1.9774224222818495E-5</c:v>
                </c:pt>
                <c:pt idx="926">
                  <c:v>0.21097765314631794</c:v>
                </c:pt>
                <c:pt idx="927">
                  <c:v>8.6092521800406191E-2</c:v>
                </c:pt>
                <c:pt idx="928">
                  <c:v>1.2911137933517876E-5</c:v>
                </c:pt>
                <c:pt idx="929">
                  <c:v>1.010100284902836</c:v>
                </c:pt>
                <c:pt idx="930">
                  <c:v>0.2908942049782875</c:v>
                </c:pt>
                <c:pt idx="931">
                  <c:v>1.4730255821094727</c:v>
                </c:pt>
                <c:pt idx="932">
                  <c:v>0.14628745040692881</c:v>
                </c:pt>
                <c:pt idx="933">
                  <c:v>0.1990511076356957</c:v>
                </c:pt>
                <c:pt idx="934">
                  <c:v>9.8678218968046766E-2</c:v>
                </c:pt>
                <c:pt idx="935">
                  <c:v>0.16686380830966285</c:v>
                </c:pt>
                <c:pt idx="936">
                  <c:v>0.1141193352146895</c:v>
                </c:pt>
                <c:pt idx="937">
                  <c:v>1.0783791725768321</c:v>
                </c:pt>
                <c:pt idx="938">
                  <c:v>7.2768343180164033E-5</c:v>
                </c:pt>
                <c:pt idx="939">
                  <c:v>8.8357671939171741E-6</c:v>
                </c:pt>
                <c:pt idx="940">
                  <c:v>0.78046612964419448</c:v>
                </c:pt>
                <c:pt idx="941">
                  <c:v>0.14385084151872091</c:v>
                </c:pt>
                <c:pt idx="942">
                  <c:v>0.12736748036832388</c:v>
                </c:pt>
                <c:pt idx="943">
                  <c:v>0.2503862612579606</c:v>
                </c:pt>
                <c:pt idx="944">
                  <c:v>2.7430277902002864E-2</c:v>
                </c:pt>
                <c:pt idx="945">
                  <c:v>0.21461199431066341</c:v>
                </c:pt>
                <c:pt idx="946">
                  <c:v>3.7408484560594222E-6</c:v>
                </c:pt>
                <c:pt idx="947">
                  <c:v>1.5939652853410746</c:v>
                </c:pt>
                <c:pt idx="948">
                  <c:v>6.2899292058633957E-4</c:v>
                </c:pt>
                <c:pt idx="949">
                  <c:v>1.6358816700543285E-5</c:v>
                </c:pt>
                <c:pt idx="950">
                  <c:v>1.0437925924321906E-5</c:v>
                </c:pt>
                <c:pt idx="951">
                  <c:v>0.18920414680921796</c:v>
                </c:pt>
                <c:pt idx="952">
                  <c:v>0.25053522474526529</c:v>
                </c:pt>
                <c:pt idx="953">
                  <c:v>0.58969206400527607</c:v>
                </c:pt>
                <c:pt idx="954">
                  <c:v>2.0234190855390282E-2</c:v>
                </c:pt>
                <c:pt idx="955">
                  <c:v>0.26902488801623181</c:v>
                </c:pt>
                <c:pt idx="956">
                  <c:v>4.1116633268434202E-4</c:v>
                </c:pt>
                <c:pt idx="957">
                  <c:v>3.6940384615384618E-2</c:v>
                </c:pt>
                <c:pt idx="958">
                  <c:v>0.42978815456321284</c:v>
                </c:pt>
                <c:pt idx="959">
                  <c:v>1.3005538601078581</c:v>
                </c:pt>
                <c:pt idx="960">
                  <c:v>0.79937525129991804</c:v>
                </c:pt>
                <c:pt idx="961">
                  <c:v>0.52263539680031224</c:v>
                </c:pt>
                <c:pt idx="962">
                  <c:v>0.89287891974912925</c:v>
                </c:pt>
                <c:pt idx="963">
                  <c:v>5.2260050150914033E-4</c:v>
                </c:pt>
                <c:pt idx="964">
                  <c:v>3.7147355156890932E-5</c:v>
                </c:pt>
                <c:pt idx="965">
                  <c:v>0.16099710524327221</c:v>
                </c:pt>
                <c:pt idx="966">
                  <c:v>2.4151805842920058</c:v>
                </c:pt>
                <c:pt idx="967">
                  <c:v>0.21458314312255899</c:v>
                </c:pt>
                <c:pt idx="968">
                  <c:v>6.9337240309289394E-2</c:v>
                </c:pt>
                <c:pt idx="969">
                  <c:v>2.6707394208284247</c:v>
                </c:pt>
                <c:pt idx="970">
                  <c:v>3.0603827024976087E-2</c:v>
                </c:pt>
                <c:pt idx="971">
                  <c:v>0.21170033544928599</c:v>
                </c:pt>
                <c:pt idx="972">
                  <c:v>0.45096998539509064</c:v>
                </c:pt>
                <c:pt idx="973">
                  <c:v>0.30261703989293431</c:v>
                </c:pt>
                <c:pt idx="974">
                  <c:v>1.6752323117551541E-2</c:v>
                </c:pt>
                <c:pt idx="975">
                  <c:v>3.0542263207918632E-4</c:v>
                </c:pt>
                <c:pt idx="976">
                  <c:v>0.14915048286326357</c:v>
                </c:pt>
                <c:pt idx="977">
                  <c:v>7.4106325273994385</c:v>
                </c:pt>
                <c:pt idx="978">
                  <c:v>0.10372785680282715</c:v>
                </c:pt>
                <c:pt idx="979">
                  <c:v>0.27850174913451481</c:v>
                </c:pt>
                <c:pt idx="980">
                  <c:v>0.205255039280098</c:v>
                </c:pt>
                <c:pt idx="981">
                  <c:v>1.0114723069059359</c:v>
                </c:pt>
                <c:pt idx="982">
                  <c:v>8.0990454288019265E-2</c:v>
                </c:pt>
                <c:pt idx="983">
                  <c:v>5.1876359061692356E-2</c:v>
                </c:pt>
                <c:pt idx="984">
                  <c:v>1.4343060916772813E-6</c:v>
                </c:pt>
                <c:pt idx="985">
                  <c:v>0.62438732846031819</c:v>
                </c:pt>
                <c:pt idx="986">
                  <c:v>2.6508322329450342</c:v>
                </c:pt>
                <c:pt idx="987">
                  <c:v>0.23951251410444879</c:v>
                </c:pt>
                <c:pt idx="988">
                  <c:v>0.82131040592187998</c:v>
                </c:pt>
                <c:pt idx="989">
                  <c:v>3.4791390027369393E-7</c:v>
                </c:pt>
                <c:pt idx="990">
                  <c:v>7.114779976797965E-2</c:v>
                </c:pt>
                <c:pt idx="991">
                  <c:v>1.4479481152027156E-5</c:v>
                </c:pt>
                <c:pt idx="992">
                  <c:v>6.9697091706285314E-5</c:v>
                </c:pt>
                <c:pt idx="993">
                  <c:v>0.71206421260696262</c:v>
                </c:pt>
                <c:pt idx="994">
                  <c:v>9.4895964384146755E-2</c:v>
                </c:pt>
                <c:pt idx="995">
                  <c:v>5.9579943203725408E-2</c:v>
                </c:pt>
                <c:pt idx="996">
                  <c:v>0.35273842551048701</c:v>
                </c:pt>
                <c:pt idx="997">
                  <c:v>0.5467545868864645</c:v>
                </c:pt>
                <c:pt idx="998">
                  <c:v>0.63225805994826678</c:v>
                </c:pt>
                <c:pt idx="999">
                  <c:v>9.6374796234611232E-2</c:v>
                </c:pt>
                <c:pt idx="1000">
                  <c:v>0.44196226534131466</c:v>
                </c:pt>
                <c:pt idx="1001">
                  <c:v>2.0054724329012796E-5</c:v>
                </c:pt>
                <c:pt idx="1002">
                  <c:v>0.3244431004557673</c:v>
                </c:pt>
                <c:pt idx="1003">
                  <c:v>0.14197796896366188</c:v>
                </c:pt>
                <c:pt idx="1004">
                  <c:v>1.6307253693023259E-5</c:v>
                </c:pt>
                <c:pt idx="1005">
                  <c:v>0.15674176264346537</c:v>
                </c:pt>
                <c:pt idx="1006">
                  <c:v>0.77367795514767823</c:v>
                </c:pt>
                <c:pt idx="1007">
                  <c:v>0.19242201400079875</c:v>
                </c:pt>
                <c:pt idx="1008">
                  <c:v>4.0984950326241046E-5</c:v>
                </c:pt>
                <c:pt idx="1009">
                  <c:v>0.27336981645360731</c:v>
                </c:pt>
                <c:pt idx="1010">
                  <c:v>0.5410266794652322</c:v>
                </c:pt>
                <c:pt idx="1011">
                  <c:v>0.17355237096586276</c:v>
                </c:pt>
                <c:pt idx="1012">
                  <c:v>1.1282635545146282</c:v>
                </c:pt>
                <c:pt idx="1013">
                  <c:v>6.1867216041804833E-2</c:v>
                </c:pt>
                <c:pt idx="1014">
                  <c:v>0.22523135257845694</c:v>
                </c:pt>
                <c:pt idx="1015">
                  <c:v>0.76138128162540075</c:v>
                </c:pt>
                <c:pt idx="1016">
                  <c:v>0.16303329444920284</c:v>
                </c:pt>
                <c:pt idx="1017">
                  <c:v>7.4678296566719083E-4</c:v>
                </c:pt>
                <c:pt idx="1018">
                  <c:v>2.2732556549165199</c:v>
                </c:pt>
                <c:pt idx="1019">
                  <c:v>0.80969398508430612</c:v>
                </c:pt>
                <c:pt idx="1020">
                  <c:v>0.37999354096776738</c:v>
                </c:pt>
                <c:pt idx="1021">
                  <c:v>5.4449860977644562E-4</c:v>
                </c:pt>
                <c:pt idx="1022">
                  <c:v>0.5212268584073948</c:v>
                </c:pt>
                <c:pt idx="1023">
                  <c:v>1.8608177356693161E-2</c:v>
                </c:pt>
                <c:pt idx="1024">
                  <c:v>2.0515195297428876E-5</c:v>
                </c:pt>
                <c:pt idx="1025">
                  <c:v>7.5486576930427304E-2</c:v>
                </c:pt>
                <c:pt idx="1026">
                  <c:v>1.0532097088348378</c:v>
                </c:pt>
                <c:pt idx="1027">
                  <c:v>0.53814970652904792</c:v>
                </c:pt>
                <c:pt idx="1028">
                  <c:v>2.0858942552527204</c:v>
                </c:pt>
                <c:pt idx="1029">
                  <c:v>4.1723541036858554E-2</c:v>
                </c:pt>
                <c:pt idx="1030">
                  <c:v>1.3549800971283086</c:v>
                </c:pt>
                <c:pt idx="1031">
                  <c:v>7.7986945589708051E-5</c:v>
                </c:pt>
                <c:pt idx="1032">
                  <c:v>0.17226577769113371</c:v>
                </c:pt>
                <c:pt idx="1033">
                  <c:v>0.21134691452897261</c:v>
                </c:pt>
                <c:pt idx="1034">
                  <c:v>0.83682527939960261</c:v>
                </c:pt>
                <c:pt idx="1035">
                  <c:v>0.11215356306348002</c:v>
                </c:pt>
                <c:pt idx="1036">
                  <c:v>0.65933722017195151</c:v>
                </c:pt>
                <c:pt idx="1037">
                  <c:v>1.857183281028335E-5</c:v>
                </c:pt>
                <c:pt idx="1038">
                  <c:v>1.202257345838678</c:v>
                </c:pt>
                <c:pt idx="1039">
                  <c:v>2.4212937983088416E-4</c:v>
                </c:pt>
                <c:pt idx="1040">
                  <c:v>1.1003273150932207</c:v>
                </c:pt>
                <c:pt idx="1041">
                  <c:v>1.3892734533460922E-4</c:v>
                </c:pt>
                <c:pt idx="1042">
                  <c:v>0.62529904247302115</c:v>
                </c:pt>
                <c:pt idx="1043">
                  <c:v>2.3094788178623495E-5</c:v>
                </c:pt>
                <c:pt idx="1044">
                  <c:v>4.2059436167123955E-4</c:v>
                </c:pt>
                <c:pt idx="1045">
                  <c:v>7.2823779193207099E-4</c:v>
                </c:pt>
                <c:pt idx="1046">
                  <c:v>1.6884958184615066E-4</c:v>
                </c:pt>
                <c:pt idx="1047">
                  <c:v>5.9752612001873477E-2</c:v>
                </c:pt>
                <c:pt idx="1048">
                  <c:v>0.11562246278755189</c:v>
                </c:pt>
                <c:pt idx="1049">
                  <c:v>2.3834783701457027</c:v>
                </c:pt>
                <c:pt idx="1050">
                  <c:v>0.54446068245734558</c:v>
                </c:pt>
                <c:pt idx="1051">
                  <c:v>0.43367603421568002</c:v>
                </c:pt>
                <c:pt idx="1052">
                  <c:v>9.3740455517259309E-5</c:v>
                </c:pt>
                <c:pt idx="1053">
                  <c:v>0.29514647127461108</c:v>
                </c:pt>
                <c:pt idx="1054">
                  <c:v>0.28480062130357736</c:v>
                </c:pt>
                <c:pt idx="1055">
                  <c:v>5.5880808271020183E-5</c:v>
                </c:pt>
                <c:pt idx="1056">
                  <c:v>4.4502789729734024E-2</c:v>
                </c:pt>
                <c:pt idx="1057">
                  <c:v>1.3572790932499992E-2</c:v>
                </c:pt>
                <c:pt idx="1058">
                  <c:v>2.6840501712311274E-5</c:v>
                </c:pt>
                <c:pt idx="1059">
                  <c:v>0.16140088329025631</c:v>
                </c:pt>
                <c:pt idx="1060">
                  <c:v>6.8009333990918699E-7</c:v>
                </c:pt>
                <c:pt idx="1061">
                  <c:v>1.0354524389166844E-4</c:v>
                </c:pt>
                <c:pt idx="1062">
                  <c:v>8.7264538856157987</c:v>
                </c:pt>
                <c:pt idx="1063">
                  <c:v>6.4788040426727034E-2</c:v>
                </c:pt>
                <c:pt idx="1064">
                  <c:v>0.11031851749235218</c:v>
                </c:pt>
                <c:pt idx="1065">
                  <c:v>0.59847214783073033</c:v>
                </c:pt>
                <c:pt idx="1066">
                  <c:v>1.576671905749414E-2</c:v>
                </c:pt>
                <c:pt idx="1067">
                  <c:v>8.3994690085627492E-3</c:v>
                </c:pt>
                <c:pt idx="1068">
                  <c:v>5.5934788550173732E-2</c:v>
                </c:pt>
                <c:pt idx="1069">
                  <c:v>0.23718782598106178</c:v>
                </c:pt>
                <c:pt idx="1070">
                  <c:v>1.7956182986906772</c:v>
                </c:pt>
                <c:pt idx="1071">
                  <c:v>6.9068817740571414E-2</c:v>
                </c:pt>
                <c:pt idx="1072">
                  <c:v>3.2756583743873656E-2</c:v>
                </c:pt>
                <c:pt idx="1073">
                  <c:v>0.2605917572516423</c:v>
                </c:pt>
                <c:pt idx="1074">
                  <c:v>2.984770695264834E-2</c:v>
                </c:pt>
                <c:pt idx="1075">
                  <c:v>9.64951706202756E-2</c:v>
                </c:pt>
                <c:pt idx="1076">
                  <c:v>0.49351559223766323</c:v>
                </c:pt>
                <c:pt idx="1077">
                  <c:v>0.45818951943470332</c:v>
                </c:pt>
                <c:pt idx="1078">
                  <c:v>3.8192243557950555E-2</c:v>
                </c:pt>
                <c:pt idx="1079">
                  <c:v>5.3603415311404023E-5</c:v>
                </c:pt>
                <c:pt idx="1080">
                  <c:v>0.16653094036833141</c:v>
                </c:pt>
                <c:pt idx="1081">
                  <c:v>0.57887885640083492</c:v>
                </c:pt>
                <c:pt idx="1082">
                  <c:v>1.3186490049786361</c:v>
                </c:pt>
                <c:pt idx="1083">
                  <c:v>8.4821672455741517</c:v>
                </c:pt>
                <c:pt idx="1084">
                  <c:v>0.31492644019766547</c:v>
                </c:pt>
                <c:pt idx="1085">
                  <c:v>0.16681497672363682</c:v>
                </c:pt>
                <c:pt idx="1086">
                  <c:v>0.29224563506664536</c:v>
                </c:pt>
              </c:numCache>
            </c:numRef>
          </c:yVal>
        </c:ser>
        <c:axId val="57240960"/>
        <c:axId val="305423488"/>
      </c:scatterChart>
      <c:valAx>
        <c:axId val="57240960"/>
        <c:scaling>
          <c:orientation val="minMax"/>
        </c:scaling>
        <c:axPos val="b"/>
        <c:tickLblPos val="nextTo"/>
        <c:txPr>
          <a:bodyPr/>
          <a:lstStyle/>
          <a:p>
            <a:pPr>
              <a:defRPr sz="600" b="1"/>
            </a:pPr>
            <a:endParaRPr lang="zh-CN"/>
          </a:p>
        </c:txPr>
        <c:crossAx val="305423488"/>
        <c:crosses val="autoZero"/>
        <c:crossBetween val="midCat"/>
      </c:valAx>
      <c:valAx>
        <c:axId val="305423488"/>
        <c:scaling>
          <c:orientation val="minMax"/>
        </c:scaling>
        <c:axPos val="l"/>
        <c:majorGridlines/>
        <c:numFmt formatCode="#,##0" sourceLinked="0"/>
        <c:tickLblPos val="nextTo"/>
        <c:txPr>
          <a:bodyPr/>
          <a:lstStyle/>
          <a:p>
            <a:pPr>
              <a:defRPr sz="600" b="1"/>
            </a:pPr>
            <a:endParaRPr lang="zh-CN"/>
          </a:p>
        </c:txPr>
        <c:crossAx val="57240960"/>
        <c:crosses val="autoZero"/>
        <c:crossBetween val="midCat"/>
      </c:valAx>
    </c:plotArea>
    <c:legend>
      <c:legendPos val="r"/>
      <c:layout>
        <c:manualLayout>
          <c:xMode val="edge"/>
          <c:yMode val="edge"/>
          <c:x val="0.28107303626152874"/>
          <c:y val="3.8498687664042012E-3"/>
          <c:w val="0.45410875632918002"/>
          <c:h val="0.10261956838728492"/>
        </c:manualLayout>
      </c:layout>
      <c:txPr>
        <a:bodyPr/>
        <a:lstStyle/>
        <a:p>
          <a:pPr>
            <a:defRPr sz="600" b="1">
              <a:latin typeface="楷体" pitchFamily="49" charset="-122"/>
              <a:ea typeface="楷体" pitchFamily="49" charset="-122"/>
            </a:defRPr>
          </a:pPr>
          <a:endParaRPr lang="zh-CN"/>
        </a:p>
      </c:txPr>
    </c:legend>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8BECD-556B-49AF-9E1F-742F07489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2058</TotalTime>
  <Pages>21</Pages>
  <Words>2861</Words>
  <Characters>16314</Characters>
  <Application>Microsoft Office Word</Application>
  <DocSecurity>0</DocSecurity>
  <Lines>135</Lines>
  <Paragraphs>38</Paragraphs>
  <ScaleCrop>false</ScaleCrop>
  <Company/>
  <LinksUpToDate>false</LinksUpToDate>
  <CharactersWithSpaces>19137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zszq</cp:lastModifiedBy>
  <cp:revision>1274</cp:revision>
  <cp:lastPrinted>2018-12-07T05:14:00Z</cp:lastPrinted>
  <dcterms:created xsi:type="dcterms:W3CDTF">2018-11-19T01:01:00Z</dcterms:created>
  <dcterms:modified xsi:type="dcterms:W3CDTF">2019-01-10T00:18:00Z</dcterms:modified>
</cp:coreProperties>
</file>